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89"/>
    <w:bookmarkStart w:id="9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 biến phụ thuộc</w:t>
      </w:r>
    </w:p>
    <w:p>
      <w:pPr>
        <w:numPr>
          <w:ilvl w:val="0"/>
          <w:numId w:val="1009"/>
        </w:numPr>
        <w:pStyle w:val="Compact"/>
      </w:pPr>
      <w:r>
        <w:rPr>
          <w:bCs/>
          <w:b/>
        </w:rPr>
        <w:t xml:space="preserve">CDDXK_c_it</w:t>
      </w:r>
      <w:r>
        <w:t xml:space="preserve">: cường độ xuất khẩu mean-centred — FSTS_c = (d3c/100) − mean_pool(FSTS)</w:t>
      </w:r>
    </w:p>
    <w:p>
      <w:pPr>
        <w:numPr>
          <w:ilvl w:val="0"/>
          <w:numId w:val="1009"/>
        </w:numPr>
        <w:pStyle w:val="Compact"/>
      </w:pPr>
      <w:r>
        <w:rPr>
          <w:bCs/>
          <w:b/>
        </w:rPr>
        <w:t xml:space="preserve">CDDXK_c²_it</w:t>
      </w:r>
      <w:r>
        <w:t xml:space="preserve">: CDDXK_c bình phương — kiểm định phi tuyến</w:t>
      </w:r>
    </w:p>
    <w:p>
      <w:pPr>
        <w:numPr>
          <w:ilvl w:val="0"/>
          <w:numId w:val="1009"/>
        </w:numPr>
        <w:pStyle w:val="Compact"/>
      </w:pPr>
      <w:r>
        <w:rPr>
          <w:bCs/>
          <w:b/>
        </w:rPr>
        <w:t xml:space="preserve">NLCN_z_it</w:t>
      </w:r>
      <w:r>
        <w:t xml:space="preserve">: năng lực công nghệ z-standardised — TCI_z = z-std(b8, e6)</w:t>
      </w:r>
    </w:p>
    <w:p>
      <w:pPr>
        <w:numPr>
          <w:ilvl w:val="0"/>
          <w:numId w:val="1009"/>
        </w:numPr>
        <w:pStyle w:val="Compact"/>
      </w:pPr>
      <w:r>
        <w:rPr>
          <w:bCs/>
          <w:b/>
        </w:rPr>
        <w:t xml:space="preserve">CSS_z_it</w:t>
      </w:r>
      <w:r>
        <w:t xml:space="preserve">: chỉ số số hoá z-standardised —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 so với Singapore 1,08, chênh hơn 2 lần)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 một vấn đề đo lường cần phân biệt với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42"/>
    <w:bookmarkStart w:id="1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 đáng chú ý là Nhật Bản 2025 (nền kinh tế lần đầu được WBES khảo sát, thuộc nhóm thể chế tiên tiến) và các đợt 2024–2026 của nhiều nền trong khung —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5"/>
    <w:bookmarkStart w:id="1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169"/>
    <w:bookmarkStart w:id="17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173"/>
    <w:bookmarkStart w:id="17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p>
      <w:r>
        <w:br w:type="page"/>
      </w:r>
    </w:p>
    <w:bookmarkEnd w:id="188"/>
    <w:bookmarkEnd w:id="189"/>
    <w:bookmarkStart w:id="22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1"/>
    <w:bookmarkEnd w:id="222"/>
    <w:bookmarkStart w:id="223"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r>
        <w:br w:type="page"/>
      </w:r>
    </w:p>
    <w:bookmarkEnd w:id="223"/>
    <w:bookmarkEnd w:id="224"/>
    <w:bookmarkStart w:id="235"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5"/>
    <w:bookmarkStart w:id="22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 Lebanon 2009 (bộ PICS MENA, mã</w:t>
      </w:r>
      <w:r>
        <w:t xml:space="preserve"> </w:t>
      </w:r>
      <w:r>
        <w:rPr>
          <w:rStyle w:val="VerbatimChar"/>
        </w:rPr>
        <w:t xml:space="preserve">q####</w:t>
      </w:r>
      <w:r>
        <w:t xml:space="preserve">), Cambodia 2007 và Cambodia 2013 (bảng</w:t>
      </w:r>
      <w:r>
        <w:t xml:space="preserve"> </w:t>
      </w:r>
      <w:r>
        <w:t xml:space="preserve">hỏi đời đầu) —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26"/>
    <w:bookmarkStart w:id="22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7"/>
    <w:bookmarkStart w:id="22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8"/>
    <w:bookmarkStart w:id="229"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9"/>
    <w:bookmarkStart w:id="23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0"/>
    <w:bookmarkStart w:id="23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1"/>
    <w:bookmarkStart w:id="23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2"/>
    <w:bookmarkStart w:id="23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3"/>
    <w:bookmarkStart w:id="23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4"/>
    <w:bookmarkEnd w:id="2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2026-06-12T08:56:20Z</dcterms:created>
  <dcterms:modified xsi:type="dcterms:W3CDTF">2026-06-12T08:56:20Z</dcterms:modified>
</cp:coreProperties>
</file>

<file path=docProps/custom.xml><?xml version="1.0" encoding="utf-8"?>
<Properties xmlns="http://schemas.openxmlformats.org/officeDocument/2006/custom-properties" xmlns:vt="http://schemas.openxmlformats.org/officeDocument/2006/docPropsVTypes"/>
</file>