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of 40.0% of sales from exports in the fully specified two-way fixed-effects model (M5; Lind–Mehlum test p &lt; .001; 33.8–40.0% across specifications; confirmed in M11 at TP=34.6%, 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Managerial experience and female top management</w:t>
      </w:r>
      <w:r>
        <w:t xml:space="preserve"> </w:t>
      </w:r>
      <w:r>
        <w:t xml:space="preserve">improve performance; experience additionally moderates the curve shape</w:t>
      </w:r>
      <w:r>
        <w:t xml:space="preserve"> </w:t>
      </w:r>
      <w:r>
        <w:t xml:space="preserve">in the full specification.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introduction"/>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an inverted-U whose turning point is 40.0% foreign sales intensity in the fully specified model (M5), within a narrow 33.8–40.0% band across all specifications (N = 84,910–29,840),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Do &amp;</w:t>
      </w:r>
      <w:r>
        <w:t xml:space="preserve"> </w:t>
      </w:r>
      <w:r>
        <w:t xml:space="preserve">Phan, 2025),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 direct plus indirect exports ((d3b + d3c) / 100), following the standard WBES exports definition,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w:t>
      </w:r>
      <w:r>
        <w:t xml:space="preserve"> </w:t>
      </w:r>
      <w:r>
        <w:t xml:space="preserve">Adding controls reduces the sample to N = 38,342 (M3); country-year FE</w:t>
      </w:r>
      <w:r>
        <w:t xml:space="preserve"> </w:t>
      </w:r>
      <w:r>
        <w:t xml:space="preserve">model M5 uses the same sample. TCI-moderation models (M6, M7) use N ≈</w:t>
      </w:r>
      <w:r>
        <w:t xml:space="preserve"> </w:t>
      </w:r>
      <w:r>
        <w:t xml:space="preserve">38,051; adding DAI (M8) N ≈ 37,940; manager models (M9) N ≈ 35,568;</w:t>
      </w:r>
      <w:r>
        <w:t xml:space="preserve"> </w:t>
      </w:r>
      <w:r>
        <w:t xml:space="preserve">ICRV-moderation (M10) N ≈ 31,928; full three-way (M11) N ≈ 29,840.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 40.0% foreign sales intensity in the fully specified model M5 (33.8–40.0% across specifications).</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16%</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115% higher labour</w:t>
      </w:r>
      <w:r>
        <w:t xml:space="preserve"> </w:t>
      </w:r>
      <w:r>
        <w:t xml:space="preserve">productivity level (exp(0.763) − 1 ≈ 115%).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+1.762, p</w:t>
      </w:r>
      <w:r>
        <w:t xml:space="preserve"> </w:t>
      </w:r>
      <w:r>
        <w:t xml:space="preserve">&lt; .001) and FSTS²×ICRV (β = −2.746,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(Emerging/SIDS),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an inverted-U with a turning point of 40.0% foreign sales intensity (M5; 33.8–40.0% across specifications),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managerial-heterogeneity"/>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limitations"/>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w:t>
      </w:r>
      <w:r>
        <w:t xml:space="preserve"> </w:t>
      </w:r>
      <w:r>
        <w:t xml:space="preserve">“</w:t>
      </w:r>
      <w:r>
        <w:t xml:space="preserve">performance</w:t>
      </w:r>
      <w:r>
        <w:t xml:space="preserve">”</w:t>
      </w:r>
      <w:r>
        <w:t xml:space="preserve"> </w:t>
      </w:r>
      <w:r>
        <w:t xml:space="preserve">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34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40.0% foreign sales intensity in the fully specified model M5 (33.8–40.0% across specifications). Three conclusions are policy-relevant.</w:t>
      </w:r>
      <w:r>
        <w:t xml:space="preserve"> </w:t>
      </w:r>
      <w:r>
        <w:t xml:space="preserve">First, for firms in the ascending phase (FSTS below the ~40% turning point),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5"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w:t>
      </w:r>
      <w:r>
        <w:rPr>
          <w:iCs/>
          <w:i/>
        </w:rPr>
        <w:t xml:space="preserve"> </w:t>
      </w:r>
      <w:r>
        <w:rPr>
          <w:iCs/>
          <w:i/>
        </w:rPr>
        <w:t xml:space="preserve">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Contractor, F. J., Kumar, V., &amp; Kundu, S. K. (2007). Nature of the</w:t>
      </w:r>
      <w:r>
        <w:t xml:space="preserve"> </w:t>
      </w:r>
      <w:r>
        <w:t xml:space="preserve">relationship between international expansion and performance: The case</w:t>
      </w:r>
      <w:r>
        <w:t xml:space="preserve"> </w:t>
      </w:r>
      <w:r>
        <w:t xml:space="preserve">of emerging market firms.</w:t>
      </w:r>
      <w:r>
        <w:t xml:space="preserve"> </w:t>
      </w:r>
      <w:r>
        <w:rPr>
          <w:iCs/>
          <w:i/>
        </w:rPr>
        <w:t xml:space="preserve">Journal of World Business, 42</w:t>
      </w:r>
      <w:r>
        <w:t xml:space="preserve">(4), 401–417.</w:t>
      </w:r>
      <w:r>
        <w:t xml:space="preserve"> </w:t>
      </w:r>
      <w:hyperlink r:id="rId56">
        <w:r>
          <w:rPr>
            <w:rStyle w:val="Hyperlink"/>
          </w:rPr>
          <w:t xml:space="preserve">https://doi.org/10.1016/j.jwb.2007.06.003</w:t>
        </w:r>
      </w:hyperlink>
    </w:p>
    <w:p>
      <w:pPr>
        <w:pStyle w:val="BodyText"/>
      </w:pPr>
      <w:r>
        <w:t xml:space="preserve">Cuervo-Cazurra, A., Ciravegna, L., Melgarejo, M., &amp; Lopez, L. (2018).</w:t>
      </w:r>
      <w:r>
        <w:t xml:space="preserve"> </w:t>
      </w:r>
      <w:r>
        <w:t xml:space="preserve">Home country uncertainty and the internationalization-performance</w:t>
      </w:r>
      <w:r>
        <w:t xml:space="preserve"> </w:t>
      </w:r>
      <w:r>
        <w:t xml:space="preserve">relationship: Building an uncertainty management capability.</w:t>
      </w:r>
      <w:r>
        <w:t xml:space="preserve"> </w:t>
      </w:r>
      <w:r>
        <w:rPr>
          <w:iCs/>
          <w:i/>
        </w:rPr>
        <w:t xml:space="preserve">Journal of</w:t>
      </w:r>
      <w:r>
        <w:rPr>
          <w:iCs/>
          <w:i/>
        </w:rPr>
        <w:t xml:space="preserve"> </w:t>
      </w:r>
      <w:r>
        <w:rPr>
          <w:iCs/>
          <w:i/>
        </w:rPr>
        <w:t xml:space="preserve">World Business, 53</w:t>
      </w:r>
      <w:r>
        <w:t xml:space="preserve">(2), 209–221.</w:t>
      </w:r>
      <w:r>
        <w:t xml:space="preserve"> </w:t>
      </w:r>
      <w:hyperlink r:id="rId57">
        <w:r>
          <w:rPr>
            <w:rStyle w:val="Hyperlink"/>
          </w:rPr>
          <w:t xml:space="preserve">https://doi.org/10.1016/j.jwb.2017.11.003</w:t>
        </w:r>
      </w:hyperlink>
    </w:p>
    <w:p>
      <w:pPr>
        <w:pStyle w:val="BodyText"/>
      </w:pPr>
      <w:r>
        <w:t xml:space="preserve">Dawson, J. F. (2014). Moderation in management research: What, why,</w:t>
      </w:r>
      <w:r>
        <w:t xml:space="preserve"> </w:t>
      </w:r>
      <w:r>
        <w:t xml:space="preserve">when, and how.</w:t>
      </w:r>
      <w:r>
        <w:t xml:space="preserve"> </w:t>
      </w:r>
      <w:r>
        <w:rPr>
          <w:iCs/>
          <w:i/>
        </w:rPr>
        <w:t xml:space="preserve">Journal of Business and Psychology, 29</w:t>
      </w:r>
      <w:r>
        <w:t xml:space="preserve">(1), 1–19.</w:t>
      </w:r>
      <w:r>
        <w:t xml:space="preserve"> </w:t>
      </w:r>
      <w:hyperlink r:id="rId58">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9">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60">
        <w:r>
          <w:rPr>
            <w:rStyle w:val="Hyperlink"/>
          </w:rPr>
          <w:t xml:space="preserve">https://doi.org/10.1002/smj.2399</w:t>
        </w:r>
      </w:hyperlink>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r>
        <w:t xml:space="preserve">https://doi.org/10.5772/intechopen.1011012</w:t>
      </w:r>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61">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62">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w:t>
      </w:r>
      <w:r>
        <w:rPr>
          <w:iCs/>
          <w:i/>
        </w:rPr>
        <w:t xml:space="preserve"> </w:t>
      </w:r>
      <w:r>
        <w:rPr>
          <w:iCs/>
          <w:i/>
        </w:rPr>
        <w:t xml:space="preserve">conditional process analysis: A regression-based approach</w:t>
      </w:r>
      <w:r>
        <w:t xml:space="preserve"> </w:t>
      </w:r>
      <w:r>
        <w:t xml:space="preserve">(2nd ed.).</w:t>
      </w:r>
      <w:r>
        <w:t xml:space="preserve"> </w:t>
      </w:r>
      <w:r>
        <w:t xml:space="preserve">Guilford Press.</w:t>
      </w:r>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3">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4">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5">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6">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7">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8">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69">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r>
        <w:t xml:space="preserve">https://doi.org/10.1007/s11575-010-0029-0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70">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 https://doi.org/10.5267/j.ac.2020.9.006</w:t>
      </w:r>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71">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2">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3">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4">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4">
        <w:r>
          <w:rPr>
            <w:rStyle w:val="Hyperlink"/>
          </w:rPr>
          <w:t xml:space="preserve">https://www.worldbank.org/ext/en/country/vietnam</w:t>
        </w:r>
      </w:hyperlink>
    </w:p>
    <w:p>
      <w:pPr>
        <w:pStyle w:val="BodyText"/>
      </w:pPr>
      <w:r>
        <w:t xml:space="preserve">Wu, J., Wang, C., Hong, J., Piperopoulos, P., &amp; Zhuo, S. (2022).</w:t>
      </w:r>
      <w:r>
        <w:t xml:space="preserve"> </w:t>
      </w:r>
      <w:r>
        <w:t xml:space="preserve">Internationalization and innovation of business groups: Evidence from</w:t>
      </w:r>
      <w:r>
        <w:t xml:space="preserve"> </w:t>
      </w:r>
      <w:r>
        <w:t xml:space="preserve">China.</w:t>
      </w:r>
      <w:r>
        <w:t xml:space="preserve"> </w:t>
      </w:r>
      <w:r>
        <w:rPr>
          <w:iCs/>
          <w:i/>
        </w:rPr>
        <w:t xml:space="preserve">Journal of World Business, 54</w:t>
      </w:r>
      <w:r>
        <w:t xml:space="preserve">(4), 305–320.</w:t>
      </w:r>
    </w:p>
    <w:bookmarkEnd w:id="75"/>
    <w:bookmarkStart w:id="76"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307"/>
        <w:gridCol w:w="4229"/>
        <w:gridCol w:w="1614"/>
        <w:gridCol w:w="768"/>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652"/>
        <w:gridCol w:w="745"/>
        <w:gridCol w:w="745"/>
        <w:gridCol w:w="1770"/>
        <w:gridCol w:w="745"/>
        <w:gridCol w:w="3261"/>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473"/>
        <w:gridCol w:w="1289"/>
        <w:gridCol w:w="1289"/>
        <w:gridCol w:w="1289"/>
        <w:gridCol w:w="1289"/>
        <w:gridCol w:w="1289"/>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6"/>
    <w:bookmarkStart w:id="77"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77"/>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2"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0"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3" Target="https://www.enterprisesurveys.org" TargetMode="External" /><Relationship Type="http://schemas.openxmlformats.org/officeDocument/2006/relationships/hyperlink" Id="rId74"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2"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0"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3" Target="https://www.enterprisesurveys.org" TargetMode="External" /><Relationship Type="http://schemas.openxmlformats.org/officeDocument/2006/relationships/hyperlink" Id="rId74"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2026-06-12T08:55:58Z</dcterms:created>
  <dcterms:modified xsi:type="dcterms:W3CDTF">2026-06-12T08:55:58Z</dcterms:modified>
</cp:coreProperties>
</file>

<file path=docProps/custom.xml><?xml version="1.0" encoding="utf-8"?>
<Properties xmlns="http://schemas.openxmlformats.org/officeDocument/2006/custom-properties" xmlns:vt="http://schemas.openxmlformats.org/officeDocument/2006/docPropsVTypes"/>
</file>