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t>
      </w:r>
      <w:r>
        <w:t xml:space="preserve"> </w:t>
      </w:r>
      <w:r>
        <w:t xml:space="preserve">“</w:t>
      </w:r>
      <w:r>
        <w:t xml:space="preserve">institutional determination of the sign of I-P relationship.</w:t>
      </w:r>
      <w:r>
        <w:t xml:space="preserve">”</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items d3b + d3c (percentage of sales from indirect plus direct exports),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549"/>
        <w:gridCol w:w="452"/>
        <w:gridCol w:w="3297"/>
        <w:gridCol w:w="362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p>
      <w:pPr>
        <w:pStyle w:val="BodyText"/>
      </w:pPr>
      <w:r>
        <w:rPr>
          <w:bCs/>
          <w:b/>
        </w:rPr>
        <w:t xml:space="preserve">Sample-restriction and exclusion robustness.</w:t>
      </w:r>
      <w:r>
        <w:t xml:space="preserve"> </w:t>
      </w:r>
      <w:r>
        <w:t xml:space="preserve">Two checks confirm that the FIP estimate is not an artefact of the complete-case sample or of the seven-economy definition. First, the N = 209 estimation sample for the fully controlled model arises almost entirely from missingness on the foreign-ownership control (non-missing for only 22 per cent of firms); re-estimating M1 with country and year fixed effects but without that control recovers the full analysis sample and preserves the result (β(FSTS_c) = −0.835, p = .010, N = 950; with no controls, β = −0.769, p = .015, N = 959). The retained and dropped subsamples have near-identical mean FSTS (0.046 versus 0.049), indicating the restriction is not selected on the focal variable. Second, the penalty is present beyond the Pacific definition: estimated on the full nine-economy small-island pool that additionally includes Comoros and Timor-Leste, it remains negative and significant (β(FSTS_c) = −0.510, p = .008, N = 1,469). The seven-economy restriction therefore strengthens, but does not create, the estimate.</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w:t>
      </w:r>
      <w:r>
        <w:t xml:space="preserve"> </w:t>
      </w:r>
      <w:r>
        <w:t xml:space="preserve">“</w:t>
      </w:r>
      <w:r>
        <w:t xml:space="preserve">cost of doing business</w:t>
      </w:r>
      <w:r>
        <w:t xml:space="preserve">”</w:t>
      </w:r>
      <w:r>
        <w:t xml:space="preserve"> </w:t>
      </w:r>
      <w:r>
        <w:t xml:space="preserve">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not just the magnitude, of the I-P relationship reverses.</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conclusions"/>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estimated on the N = 209 complete-case subsample; β = −3.351, p &lt; .001 without country fixed effects; β = −0.864, p = .050 in the full-sample bivariate model;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suggesting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Xd18a7fdbbe8955432f108664659551dd8892246"/>
    <w:p>
      <w:pPr>
        <w:pStyle w:val="Heading3"/>
      </w:pPr>
      <w:r>
        <w:t xml:space="preserve">Table 1. Country-Level Summary Statistics</w:t>
      </w:r>
    </w:p>
    <w:tbl>
      <w:tblPr>
        <w:tblStyle w:val="Table"/>
        <w:tblW w:type="pct" w:w="5000"/>
        <w:tblLook w:firstRow="1" w:lastRow="0" w:firstColumn="0" w:lastColumn="0" w:noHBand="0" w:noVBand="0" w:val="0020"/>
        <w:jc w:val="start"/>
      </w:tblPr>
      <w:tblGrid>
        <w:gridCol w:w="1926"/>
        <w:gridCol w:w="1177"/>
        <w:gridCol w:w="1177"/>
        <w:gridCol w:w="1284"/>
        <w:gridCol w:w="1177"/>
        <w:gridCol w:w="1177"/>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020"/>
        <w:gridCol w:w="1080"/>
        <w:gridCol w:w="1080"/>
        <w:gridCol w:w="1020"/>
        <w:gridCol w:w="1080"/>
        <w:gridCol w:w="1320"/>
        <w:gridCol w:w="1320"/>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0663e092ac382c03e02f48bedf26a30118613e9"/>
    <w:p>
      <w:pPr>
        <w:pStyle w:val="Heading3"/>
      </w:pPr>
      <w:r>
        <w:t xml:space="preserve">Table 3. Robustness: Exporters-Only Subsample (N = 132)</w:t>
      </w:r>
    </w:p>
    <w:tbl>
      <w:tblPr>
        <w:tblStyle w:val="Table"/>
        <w:tblW w:type="pct" w:w="5000"/>
        <w:tblLook w:firstRow="1" w:lastRow="0" w:firstColumn="0" w:lastColumn="0" w:noHBand="0" w:noVBand="0" w:val="0020"/>
        <w:jc w:val="start"/>
      </w:tblPr>
      <w:tblGrid>
        <w:gridCol w:w="3190"/>
        <w:gridCol w:w="1210"/>
        <w:gridCol w:w="770"/>
        <w:gridCol w:w="1540"/>
        <w:gridCol w:w="1210"/>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2026-06-12T08:55:59Z</dcterms:created>
  <dcterms:modified xsi:type="dcterms:W3CDTF">2026-06-12T08:55:59Z</dcterms:modified>
</cp:coreProperties>
</file>

<file path=docProps/custom.xml><?xml version="1.0" encoding="utf-8"?>
<Properties xmlns="http://schemas.openxmlformats.org/officeDocument/2006/custom-properties" xmlns:vt="http://schemas.openxmlformats.org/officeDocument/2006/docPropsVTypes"/>
</file>