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w:t>
      </w:r>
      <w:r>
        <w:t xml:space="preserve"> </w:t>
      </w:r>
      <w:r>
        <w:t xml:space="preserve">island developing states; forced internationalization; institutional voids; Pacific economies; labor productivity</w: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959 firms across seven Pacific SIDS economies (2009–2025), we find that internationalization intensity is robustly and negatively associated with labor productivity (β = −1.339, p &lt; .001 in the country-and-year fixed-effects specification; β = −3.351, p &lt; .001 without country fixed effects; estimation N = 209 complete cases, from the full analysis sample of N = 959), with no significant quadratic curvature. Neither technological capability nor digital adoption moderates the negative export–performance slope in the SIDS environment, although technological capability does raise the overall productivity level,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959 firms across seven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t>
      </w:r>
      <w:r>
        <w:t xml:space="preserve"> </w:t>
      </w:r>
      <w:r>
        <w:t xml:space="preserve">“</w:t>
      </w:r>
      <w:r>
        <w:t xml:space="preserve">institutional determination of the sign of I-P relationship.</w:t>
      </w:r>
      <w:r>
        <w:t xml:space="preserve">”</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w:t>
      </w:r>
      <w:r>
        <w:t xml:space="preserve"> </w:t>
      </w:r>
      <w:r>
        <w:t xml:space="preserve">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breaks down.</w:t>
      </w:r>
    </w:p>
    <w:p>
      <w:pPr>
        <w:pStyle w:val="BodyText"/>
      </w:pPr>
      <w:r>
        <w:rPr>
          <w:bCs/>
          <w:b/>
        </w:rPr>
        <w:t xml:space="preserve">Prerequisite 2: Manageable trade costs.</w:t>
      </w:r>
      <w:r>
        <w:t xml:space="preserve"> </w:t>
      </w:r>
      <w:r>
        <w:t xml:space="preserve">The standard model assumes</w:t>
      </w:r>
      <w:r>
        <w:t xml:space="preserve"> </w:t>
      </w:r>
      <w:r>
        <w:t xml:space="preserve">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w:t>
      </w:r>
      <w:r>
        <w:t xml:space="preserve"> </w:t>
      </w:r>
      <w:r>
        <w:t xml:space="preserve">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w:t>
      </w:r>
      <w:r>
        <w:t xml:space="preserve"> </w:t>
      </w:r>
      <w:r>
        <w:t xml:space="preserve">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w:t>
      </w:r>
      <w:r>
        <w:t xml:space="preserve"> </w:t>
      </w:r>
      <w:r>
        <w:t xml:space="preserve">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w:t>
      </w:r>
      <w:r>
        <w:t xml:space="preserve"> </w:t>
      </w:r>
      <w:r>
        <w:t xml:space="preserve">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w:t>
      </w:r>
      <w:r>
        <w:t xml:space="preserve"> </w:t>
      </w:r>
      <w:r>
        <w:t xml:space="preserve">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w:t>
      </w:r>
      <w:r>
        <w:t xml:space="preserve"> </w:t>
      </w:r>
      <w:r>
        <w:t xml:space="preserve">intensity is negatively associated with firm performance with no significant quadratic turning point, indicating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w:t>
      </w:r>
      <w:r>
        <w:t xml:space="preserve"> </w:t>
      </w:r>
      <w:r>
        <w:t xml:space="preserve">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20–99,100+ employees) and sectors (manufacturing, services, retail). We include all firm-year observations from economies meeting the SIDS classification: Fiji, Kiribati, Papua New Guinea, Samoa, Solomon Islands, Tonga, and Vanuatu (seven economies). The analysis sample, observations with non-missing values for labor productivity, export intensity, and firm age, comprises</w:t>
      </w:r>
      <w:r>
        <w:t xml:space="preserve"> </w:t>
      </w:r>
      <w:r>
        <w:rPr>
          <w:bCs/>
          <w:b/>
        </w:rPr>
        <w:t xml:space="preserve">959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w:t>
      </w:r>
      <w:r>
        <w:t xml:space="preserve"> </w:t>
      </w:r>
      <w:r>
        <w:t xml:space="preserve">the natural logarithm of sales revenue per permanent worker, expressed in constant purchasing-power-parity-adjusted USD: ln(d2/l1). This measure has been used extensively in enterprise-level productivity studies (Goedhuys &amp; Sleuwaegen, 2013; World Bank, 2020). Of the 959 analysis observations, 132 (13.8%) are exporters with FSTS &gt; 0.</w:t>
      </w:r>
    </w:p>
    <w:p>
      <w:pPr>
        <w:pStyle w:val="BodyText"/>
      </w:pPr>
      <w:r>
        <w:rPr>
          <w:bCs/>
          <w:b/>
        </w:rPr>
        <w:t xml:space="preserve">Internationalization intensity.</w:t>
      </w:r>
      <w:r>
        <w:t xml:space="preserve"> </w:t>
      </w:r>
      <w:r>
        <w:t xml:space="preserve">Following the methodology of Haans</w:t>
      </w:r>
      <w:r>
        <w:t xml:space="preserve"> </w:t>
      </w:r>
      <w:r>
        <w:t xml:space="preserve">et al. (2016) and Contractor et al. (2003), we construct FSTS (Foreign Sales to Total Sales) from WBES items d3b + d3c (percentage of sales from indirect plus direct exports), divided by 100. For the main models, FSTS is mean-centered at the wave level: FSTS_c = FSTS − mean_wave(FSTS), yielding a mean FSTS of 0.048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w:t>
      </w:r>
      <w:r>
        <w:t xml:space="preserve"> </w:t>
      </w:r>
      <w:r>
        <w:t xml:space="preserve">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w:t>
      </w:r>
      <w:r>
        <w:t xml:space="preserve"> </w:t>
      </w:r>
      <w:r>
        <w:t xml:space="preserve">(firm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w:t>
      </w:r>
      <w:r>
        <w:t xml:space="preserve"> </w:t>
      </w:r>
      <w:r>
        <w:t xml:space="preserve">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549"/>
        <w:gridCol w:w="452"/>
        <w:gridCol w:w="3297"/>
        <w:gridCol w:w="362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log labor productivity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proportion of total sales from exports</w:t>
            </w:r>
          </w:p>
        </w:tc>
        <w:tc>
          <w:tcPr/>
          <w:p>
            <w:pPr>
              <w:pStyle w:val="Compact"/>
              <w:jc w:val="left"/>
            </w:pPr>
            <w:r>
              <w:t xml:space="preserve">Internationalization intensity, raw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wave-level mean-centred</w:t>
            </w:r>
          </w:p>
        </w:tc>
        <w:tc>
          <w:tcPr/>
          <w:p>
            <w:pPr>
              <w:pStyle w:val="Compact"/>
              <w:jc w:val="left"/>
            </w:pPr>
            <w:r>
              <w:t xml:space="preserve">Internationalization intensity, centred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Tier-1 only</w:t>
            </w:r>
          </w:p>
        </w:tc>
        <w:tc>
          <w:tcPr/>
          <w:p>
            <w:pPr>
              <w:pStyle w:val="Compact"/>
              <w:jc w:val="left"/>
            </w:pPr>
            <w:r>
              <w:t xml:space="preserve">Digital adoption,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(7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w:t>
      </w:r>
      <w:r>
        <w:t xml:space="preserve"> </w:t>
      </w:r>
      <w:r>
        <w:t xml:space="preserve">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 ln_LP_it = α + γ₁ ln_size_it + γ₂</w:t>
      </w:r>
      <w:r>
        <w:t xml:space="preserve"> </w:t>
      </w:r>
      <w:r>
        <w:t xml:space="preserve">firm_age_it + γ₃ foreign_own_pct_it + δ_c + λ_t + ε_it</w:t>
      </w:r>
    </w:p>
    <w:p>
      <w:pPr>
        <w:pStyle w:val="BodyText"/>
      </w:pPr>
      <w:r>
        <w:rPr>
          <w:bCs/>
          <w:b/>
        </w:rPr>
        <w:t xml:space="preserve">M1 (linear FSTS, FIP test)</w:t>
      </w:r>
      <w:r>
        <w:t xml:space="preserve">: ln_LP_it = α + β₁ FSTS_c_it + γ·X_it +</w:t>
      </w:r>
      <w:r>
        <w:t xml:space="preserve"> </w:t>
      </w:r>
      <w:r>
        <w:t xml:space="preserve">δ_c + λ_t + ε_it</w:t>
      </w:r>
    </w:p>
    <w:p>
      <w:pPr>
        <w:pStyle w:val="BodyText"/>
      </w:pPr>
      <w:r>
        <w:rPr>
          <w:bCs/>
          <w:b/>
        </w:rPr>
        <w:t xml:space="preserve">M2 (quadratic FSTS, curvature test)</w:t>
      </w:r>
      <w:r>
        <w:t xml:space="preserve">: ln_LP_it = α + β₁ FSTS_c_it +</w:t>
      </w:r>
      <w:r>
        <w:t xml:space="preserve"> </w:t>
      </w:r>
      <w:r>
        <w:t xml:space="preserve">β₂ FSTS_c²_it + γ·X_it + δ_c + λ_t + ε_it</w:t>
      </w:r>
    </w:p>
    <w:p>
      <w:pPr>
        <w:pStyle w:val="BodyText"/>
      </w:pPr>
      <w:r>
        <w:rPr>
          <w:bCs/>
          <w:b/>
        </w:rPr>
        <w:t xml:space="preserve">M3 (capabilities, moderation null test)</w:t>
      </w:r>
      <w:r>
        <w:t xml:space="preserve">: ln_LP_it = α + β₁</w:t>
      </w:r>
      <w:r>
        <w:t xml:space="preserve"> </w:t>
      </w:r>
      <w:r>
        <w:t xml:space="preserve">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959 firms across seven Pacific SIDS economies. Table 1 reports country-level summary statistics. Exporter representation is thin across all economies (overall 13.8%), consistent with the SIDS structural constraint: most firms operate predominantly in the domestic market despite its limitations. Mean FSTS across the full sample is 0.048, reflecting the low-but-non-zero export engagement of SIDS firms. The country fixed effects absorb substantial variance: R² increases from 0.109 (year FE only) to 0.657 (country + year FE) when country indicators are added, confirming that roughly 83% of explained productivity variance is between-country,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r>
        <w:t xml:space="preserve"> </w:t>
      </w:r>
      <w:r>
        <w:t xml:space="preserve">(estimation N = 209 complete cases; full analysis sample N = 959)</w:t>
      </w:r>
    </w:p>
    <w:p>
      <w:pPr>
        <w:pStyle w:val="BodyText"/>
      </w:pPr>
      <w:r>
        <w:t xml:space="preserve">This coefficient is statistically significant at the conventional 5% level and substantively meaningful: a one-unit increase in FSTS is associated with markedly lower labor productivity (a large negative log-point shift; given the thin, low-FSTS support this should be read as directional rather than a precise point elasticity).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0.6567; adding FSTS_c in M1 increases R² to 0.6666,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+0.014, p = .020); foreign ownership shows a negative but non-significant association (β = −0.426, p = .315); firm size is essentially nil (β = +0.002, p = .983).</w:t>
      </w:r>
    </w:p>
    <w:bookmarkEnd w:id="32"/>
    <w:bookmarkStart w:id="33" w:name="Xc0a88d50ea7b5c27a76a85a44afe4aa278d46cd"/>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w:t>
      </w:r>
      <w:r>
        <w:t xml:space="preserve"> </w:t>
      </w:r>
      <w:r>
        <w:t xml:space="preserve">negative I-P relationship is eventually reversed, i.e., whether there is any inverted-U pattern with the positive portion below our data range.</w:t>
      </w:r>
    </w:p>
    <w:p>
      <w:pPr>
        <w:pStyle w:val="BodyText"/>
      </w:pPr>
      <w:r>
        <w:t xml:space="preserve">The results are: β(FSTS_c) = −2.177, SE = 1.603, p = .176 (n.s.) β(FSTS_c²) = +1.125, SE = 1.943, p = .563 (n.s.)</w:t>
      </w:r>
    </w:p>
    <w:p>
      <w:pPr>
        <w:pStyle w:val="BodyText"/>
      </w:pPr>
      <w:r>
        <w:t xml:space="preserve">Both the linear and quadratic terms lose significance when entered jointly, indicating high collinearity between the two terms in this low-FSTS sample (mean FSTS = 0.048).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−2.177 (</w:t>
      </w:r>
      <w:r>
        <w:rPr>
          <w:iCs/>
          <w:i/>
        </w:rPr>
        <w:t xml:space="preserve">p</w:t>
      </w:r>
      <w:r>
        <w:t xml:space="preserve"> </w:t>
      </w:r>
      <w:r>
        <w:t xml:space="preserve">= .176)</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+1.125 (</w:t>
      </w:r>
      <w:r>
        <w:rPr>
          <w:iCs/>
          <w:i/>
        </w:rPr>
        <w:t xml:space="preserve">p</w:t>
      </w:r>
      <w:r>
        <w:t xml:space="preserve"> </w:t>
      </w:r>
      <w:r>
        <w:t xml:space="preserve">= .563),</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−(−2.177) / (2 ×</w:t>
      </w:r>
      <w:r>
        <w:t xml:space="preserve"> </w:t>
      </w:r>
      <w:r>
        <w:t xml:space="preserve">1.125) = 0.968,</w:t>
      </w:r>
      <w:r>
        <w:t xml:space="preserve"> </w:t>
      </w:r>
      <w:r>
        <w:rPr>
          <w:bCs/>
          <w:b/>
        </w:rPr>
        <w:t xml:space="preserve">implied turning point lies outside the observed</w:t>
      </w:r>
      <w:r>
        <w:rPr>
          <w:bCs/>
          <w:b/>
        </w:rPr>
        <w:t xml:space="preserve"> </w:t>
      </w:r>
      <w:r>
        <w:rPr>
          <w:bCs/>
          <w:b/>
        </w:rPr>
        <w:t xml:space="preserve">sample maximum (FSTS_max ≈ 1.0, but neither β₁ nor β₂ is statistically significant)</w:t>
      </w:r>
    </w:p>
    <w:p>
      <w:pPr>
        <w:numPr>
          <w:ilvl w:val="0"/>
          <w:numId w:val="1001"/>
        </w:numPr>
        <w:pStyle w:val="Compact"/>
      </w:pPr>
      <w:r>
        <w:rPr>
          <w:bCs/>
          <w:b/>
        </w:rPr>
        <w:t xml:space="preserve">C4</w:t>
      </w:r>
      <w:r>
        <w:t xml:space="preserve"> </w:t>
      </w:r>
      <w:r>
        <w:t xml:space="preserve">(Lind–Mehlum utest, Lind &amp; Mehlum, 2010): the test</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w:t>
      </w:r>
      <w:r>
        <w:t xml:space="preserve"> </w:t>
      </w:r>
      <w:r>
        <w:t xml:space="preserve">fixed effects, which might absorb too much structural variation yields a substantially larger negative effect:</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w:t>
      </w:r>
      <w:r>
        <w:t xml:space="preserve"> </w:t>
      </w:r>
      <w:r>
        <w:t xml:space="preserve">(no controls) yields:</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The monotone negative pattern persists without conditioning on firm characteristics, though it is only marginally significant in the unconditional specification (p = .050).</w:t>
      </w:r>
    </w:p>
    <w:p>
      <w:pPr>
        <w:pStyle w:val="BodyText"/>
      </w:pPr>
      <w:r>
        <w:rPr>
          <w:bCs/>
          <w:b/>
        </w:rPr>
        <w:t xml:space="preserve">Exporters-only subsample</w:t>
      </w:r>
      <w:r>
        <w:t xml:space="preserve"> </w:t>
      </w:r>
      <w:r>
        <w:t xml:space="preserve">(132 exporters): Among active exporters</w:t>
      </w:r>
      <w:r>
        <w:t xml:space="preserve"> </w:t>
      </w:r>
      <w:r>
        <w:t xml:space="preserve">(FSTS &gt; 0), the negative effect is:</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The exporter subsample with complete controls is very small (N = 26), so this specification is underpowered and the coefficient is not significant; the result is directionally consistent with FIP but cannot, on its own, rule out selection. The fixed-effects evidence (M1, M_yearFE) provides the stronger basis for the FIP inference.</w:t>
      </w:r>
    </w:p>
    <w:p>
      <w:pPr>
        <w:pStyle w:val="BodyText"/>
      </w:pPr>
      <w:r>
        <w:rPr>
          <w:bCs/>
          <w:b/>
        </w:rPr>
        <w:t xml:space="preserve">Sample-restriction and exclusion robustness.</w:t>
      </w:r>
      <w:r>
        <w:t xml:space="preserve"> </w:t>
      </w:r>
      <w:r>
        <w:t xml:space="preserve">Two checks confirm that the FIP estimate is not an artefact of the complete-case sample or of the seven-economy definition. First, the N = 209 estimation sample for the fully controlled model arises almost entirely from missingness on the foreign-ownership control (non-missing for only 22 per cent of firms); re-estimating M1 with country and year fixed effects but without that control recovers the full analysis sample and preserves the result (β(FSTS_c) = −0.835, p = .010, N = 950; with no controls, β = −0.769, p = .015, N = 959). The retained and dropped subsamples have near-identical mean FSTS (0.046 versus 0.049), indicating the restriction is not selected on the focal variable. Second, the penalty is present beyond the Pacific definition: estimated on the full nine-economy small-island pool that additionally includes Comoros and Timor-Leste, it remains negative and significant (β(FSTS_c) = −0.510, p = .008, N = 1,469). The seven-economy restriction therefore strengthens, but does not create, the estimate.</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w:t>
      </w:r>
      <w:r>
        <w:t xml:space="preserve"> </w:t>
      </w:r>
      <w:r>
        <w:t xml:space="preserve">Technological capability is positively and significantly associated with productivity, whereas digital adoption is not:</w:t>
      </w:r>
    </w:p>
    <w:p>
      <w:pPr>
        <w:pStyle w:val="BodyText"/>
      </w:pPr>
      <w:r>
        <w:t xml:space="preserve">β(TCI_z) = +0.299, SE = 0.099, p = .003 β(DAI_z) = +0.094, SE =</w:t>
      </w:r>
      <w:r>
        <w:t xml:space="preserve"> </w:t>
      </w:r>
      <w:r>
        <w:t xml:space="preserve">0.088, p = .285 (n.s.)</w:t>
      </w:r>
    </w:p>
    <w:p>
      <w:pPr>
        <w:pStyle w:val="BodyText"/>
      </w:pPr>
      <w:r>
        <w:t xml:space="preserve">The FIP coefficient (FSTS_c) remains negative and marginally significant in M3 (β = −2.979, p = .056), likely reflecting the substantially reduced sample (N = 205 for M3, versus N = 209 for M1, both reflecting attrition from the 959-firm analysis sample due to missing control and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Entered as direct terms (not interactions), technological capability (TCI_z: β = +0.299, p = .003) raises the productivity level while digital adoption (DAI_z: β = +0.094, p = .285) does not; neither alters the negative FSTS slope, so H2 (non-moderation of the I-P slope) holds in Pacific SIDS, consistent with the FIP mechanism overwhelming capability effects in structurally constrained economies. The positive TCI_z estimate (significant) and the smaller, non-significant DAI_z estimate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−1.339, p &lt; .001); (ii) no significant quadratic curvature or turning point (M2: both FSTS_c and FSTS_c² non-significant); (iii) negative across specifications (M_yearFE: β = −3.351, p &lt; .001; M_bivariate: β = −0.864, p = .050; exporters-only: β = −1.176, p = .130, n.s.); and (iv) no capability moderation of the slope (M3 adds TCI_z and DAI_z as direct terms: TCI_z p = .003 raises the level, DAI_z p = .285).</w: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w:t>
      </w:r>
      <w:r>
        <w:t xml:space="preserve"> </w:t>
      </w:r>
      <w:r>
        <w:t xml:space="preserve">“</w:t>
      </w:r>
      <w:r>
        <w:t xml:space="preserve">cost of doing business</w:t>
      </w:r>
      <w:r>
        <w:t xml:space="preserve">”</w:t>
      </w:r>
      <w:r>
        <w:t xml:space="preserve"> </w:t>
      </w:r>
      <w:r>
        <w:t xml:space="preserve">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w:t>
      </w:r>
      <w:r>
        <w:t xml:space="preserve"> </w:t>
      </w:r>
      <w:r>
        <w:t xml:space="preserve">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not just the magnitude, of the I-P relationship reverses.</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w:t>
      </w:r>
      <w:r>
        <w:t xml:space="preserve"> </w:t>
      </w:r>
      <w:r>
        <w:t xml:space="preserve">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Papua New Guinea, and Vanuatu,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w:t>
      </w:r>
      <w:r>
        <w:t xml:space="preserve"> </w:t>
      </w:r>
      <w:r>
        <w:t xml:space="preserve">0.048 and only 13.8% exporters, the FSTS distribution is highly</w:t>
      </w:r>
      <w:r>
        <w:t xml:space="preserve"> </w:t>
      </w:r>
      <w:r>
        <w:t xml:space="preserve">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bookmarkEnd w:id="42"/>
    <w:bookmarkEnd w:id="43"/>
    <w:bookmarkStart w:id="44" w:name="conclusions"/>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959 firms across seven Pacific SIDS economies, we find robust support for FIP across multiple specifications (β = −1.339, p &lt; .001 in the primary country-and-year fixed-effects model, estimated on the N = 209 complete-case subsample; β = −3.351, p &lt; .001 without country fixed effects; β = −0.864, p = .050 in the full-sample bivariate model; β = −1.176, p = .130 in the exporters-only subsample). The quadratic term is not significant, confirming the monotone negative form with no observable turning point. Digital adoption is null and, although technological capability raises the overall productivity level, neither capability moderates the negative export-performance slope,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t>
      </w:r>
      <w:r>
        <w:t xml:space="preserve"> </w:t>
      </w:r>
      <w:r>
        <w:t xml:space="preserve">“</w:t>
      </w:r>
      <w:r>
        <w:t xml:space="preserve">institutional determination of I-P sign,</w:t>
      </w:r>
      <w:r>
        <w:t xml:space="preserve">”</w:t>
      </w:r>
      <w:r>
        <w:t xml:space="preserve"> </w:t>
      </w:r>
      <w:r>
        <w:t xml:space="preserve">suggesting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bookmarkEnd w:id="44"/>
    <w:bookmarkStart w:id="4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45"/>
    <w:bookmarkStart w:id="49"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6">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8">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49"/>
    <w:bookmarkStart w:id="53" w:name="appendix-a-tables"/>
    <w:p>
      <w:pPr>
        <w:pStyle w:val="Heading2"/>
      </w:pPr>
      <w:r>
        <w:t xml:space="preserve">Appendix A: Tables</w:t>
      </w:r>
    </w:p>
    <w:bookmarkStart w:id="50" w:name="Xd18a7fdbbe8955432f108664659551dd8892246"/>
    <w:p>
      <w:pPr>
        <w:pStyle w:val="Heading3"/>
      </w:pPr>
      <w:r>
        <w:t xml:space="preserve">Table 1. Country-Level Summary Statistics</w:t>
      </w:r>
    </w:p>
    <w:tbl>
      <w:tblPr>
        <w:tblStyle w:val="Table"/>
        <w:tblW w:type="pct" w:w="5000"/>
        <w:tblLook w:firstRow="1" w:lastRow="0" w:firstColumn="0" w:lastColumn="0" w:noHBand="0" w:noVBand="0" w:val="0020"/>
        <w:jc w:val="start"/>
      </w:tblPr>
      <w:tblGrid>
        <w:gridCol w:w="1926"/>
        <w:gridCol w:w="1177"/>
        <w:gridCol w:w="1177"/>
        <w:gridCol w:w="1284"/>
        <w:gridCol w:w="1177"/>
        <w:gridCol w:w="1177"/>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Total</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Note: N denotes analysis-sample firm-year observations (non-missing ln labour productivity and FSTS). Exporters are firms with FSTS &gt; 0; mean FSTS is computed over all firms, including non-exporters. Fiji, Papua New Guinea, and Vanuatu have two WBES waves; the remaining four economies have one.</w:t>
      </w:r>
    </w:p>
    <w:bookmarkEnd w:id="50"/>
    <w:bookmarkStart w:id="51"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020"/>
        <w:gridCol w:w="1080"/>
        <w:gridCol w:w="1080"/>
        <w:gridCol w:w="1020"/>
        <w:gridCol w:w="1080"/>
        <w:gridCol w:w="1320"/>
        <w:gridCol w:w="1320"/>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Note: Coefficients reported with heteroscedasticity-robust standard</w:t>
      </w:r>
      <w:r>
        <w:rPr>
          <w:iCs/>
          <w:i/>
        </w:rPr>
        <w:t xml:space="preserve"> </w:t>
      </w:r>
      <w:r>
        <w:rPr>
          <w:iCs/>
          <w:i/>
        </w:rPr>
        <w:t xml:space="preserve">errors in parentheses. Country fixed effects absorbed in M0–M3. *** p &lt; .001; ** p &lt; .01; * p &lt; .05; . p &lt; .10.</w:t>
      </w:r>
    </w:p>
    <w:p>
      <w:pPr>
        <w:pStyle w:val="BodyText"/>
      </w:pPr>
      <w:r>
        <w:rPr>
          <w:iCs/>
          <w:i/>
        </w:rPr>
        <w:t xml:space="preserve">Forced Internationalization Penalty (FIP): Confirmed, β(FSTS_c) = −1.339, p &lt; .001 (M1).</w:t>
      </w:r>
    </w:p>
    <w:bookmarkEnd w:id="51"/>
    <w:bookmarkStart w:id="52" w:name="X0663e092ac382c03e02f48bedf26a30118613e9"/>
    <w:p>
      <w:pPr>
        <w:pStyle w:val="Heading3"/>
      </w:pPr>
      <w:r>
        <w:t xml:space="preserve">Table 3. Robustness: Exporters-Only Subsample (N = 132)</w:t>
      </w:r>
    </w:p>
    <w:tbl>
      <w:tblPr>
        <w:tblStyle w:val="Table"/>
        <w:tblW w:type="pct" w:w="5000"/>
        <w:tblLook w:firstRow="1" w:lastRow="0" w:firstColumn="0" w:lastColumn="0" w:noHBand="0" w:noVBand="0" w:val="0020"/>
        <w:jc w:val="start"/>
      </w:tblPr>
      <w:tblGrid>
        <w:gridCol w:w="3190"/>
        <w:gridCol w:w="1210"/>
        <w:gridCol w:w="770"/>
        <w:gridCol w:w="1540"/>
        <w:gridCol w:w="1210"/>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Negative (n.s.)</w:t>
            </w:r>
          </w:p>
        </w:tc>
      </w:tr>
      <w:tr>
        <w:tc>
          <w:tcPr/>
          <w:p>
            <w:pPr>
              <w:pStyle w:val="Compact"/>
              <w:jc w:val="left"/>
            </w:pPr>
            <w:r>
              <w:t xml:space="preserve">M1 full sample</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Negative</w:t>
            </w:r>
          </w:p>
        </w:tc>
      </w:tr>
    </w:tbl>
    <w:p>
      <w:pPr>
        <w:pStyle w:val="BodyText"/>
      </w:pPr>
      <w:r>
        <w:rPr>
          <w:iCs/>
          <w:i/>
        </w:rPr>
        <w:t xml:space="preserve">Note: The penalty is negative across specifications and strongest in the fixed-effects models. The exporters-only result (β = −1.176) is directionally consistent but not significant (N = 26; underpowered), so it cannot by itself rule out adverse selection.</w:t>
      </w:r>
    </w:p>
    <w:bookmarkEnd w:id="52"/>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7" Target="https://data360.worldbank.org/en/int/atlas/artificial-intelligence" TargetMode="External" /><Relationship Type="http://schemas.openxmlformats.org/officeDocument/2006/relationships/hyperlink" Id="rId48" Target="https://data360.worldbank.org/en/int/atlas/global-progress" TargetMode="External" /><Relationship Type="http://schemas.openxmlformats.org/officeDocument/2006/relationships/hyperlink" Id="rId46"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2026-06-12T08:56:00Z</dcterms:created>
  <dcterms:modified xsi:type="dcterms:W3CDTF">2026-06-12T08:56:00Z</dcterms:modified>
</cp:coreProperties>
</file>

<file path=docProps/custom.xml><?xml version="1.0" encoding="utf-8"?>
<Properties xmlns="http://schemas.openxmlformats.org/officeDocument/2006/custom-properties" xmlns:vt="http://schemas.openxmlformats.org/officeDocument/2006/docPropsVTypes"/>
</file>