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b0901df38b0c2ed52e921db498360e5b25f271"/>
    <w:p>
      <w:pPr>
        <w:pStyle w:val="Heading1"/>
      </w:pPr>
      <w:r>
        <w:t xml:space="preserve">Hình phạt Quốc tế hóa Cưỡng bức: Hiệu quả Doanh nghiệp tại các Quốc đảo nhỏ đang phát triển Thái Bình Dương</w:t>
      </w:r>
    </w:p>
    <w:p>
      <w:pPr>
        <w:pStyle w:val="FirstParagraph"/>
      </w:pPr>
      <w:r>
        <w:rPr>
          <w:iCs/>
          <w:i/>
        </w:rPr>
        <w:t xml:space="preserve">Bản dịch tiếng Việt. Nguồn: p8/p8_pacific_sids_en_clean.md (7 Pacific SIDS, N=959)</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 huongp1323001@gstudent.ctu.edu.vn ·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 patu@ctu.edu.vn · ORCID:</w:t>
      </w:r>
      <w:r>
        <w:t xml:space="preserve"> </w:t>
      </w:r>
      <w:hyperlink r:id="rId21">
        <w:r>
          <w:rPr>
            <w:rStyle w:val="Hyperlink"/>
          </w:rPr>
          <w:t xml:space="preserve">0000-0003-0667-3137</w:t>
        </w:r>
      </w:hyperlink>
    </w:p>
    <w:p>
      <w:pPr>
        <w:pStyle w:val="BodyText"/>
      </w:pPr>
      <w:r>
        <w:rPr>
          <w:iCs/>
          <w:i/>
        </w:rPr>
        <w:t xml:space="preserve">Nộp đăng: World Development</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6.600 từ.</w:t>
      </w:r>
    </w:p>
    <w:p>
      <w:pPr>
        <w:pStyle w:val="BodyText"/>
      </w:pPr>
      <w:r>
        <w:rPr>
          <w:bCs/>
          <w:b/>
        </w:rPr>
        <w:t xml:space="preserve">Bảng biểu:</w:t>
      </w:r>
      <w:r>
        <w:t xml:space="preserve"> </w:t>
      </w:r>
      <w:r>
        <w:t xml:space="preserve">3 (Bảng 1 thống kê mô tả theo quốc gia; Bảng 2 ma trận hệ số hồi quy M0–M3 và các đặc tả vững; Bảng 3 kiểm định vững mẫu con chỉ-nhà-xuất-khẩu).</w:t>
      </w:r>
    </w:p>
    <w:p>
      <w:pPr>
        <w:pStyle w:val="BodyText"/>
      </w:pPr>
      <w:r>
        <w:rPr>
          <w:bCs/>
          <w:b/>
        </w:rPr>
        <w:t xml:space="preserve">Từ khóa:</w:t>
      </w:r>
      <w:r>
        <w:t xml:space="preserve"> </w:t>
      </w:r>
      <w:r>
        <w:t xml:space="preserve">quan hệ quốc tế hóa–hiệu quả; quốc đảo nhỏ đang phát triển; quốc tế hóa cưỡng bức; khoảng trống thể chế; nền kinh tế Thái Bình Dương; năng suất lao động.</w:t>
      </w:r>
    </w:p>
    <w:p>
      <w:r>
        <w:pict>
          <v:rect style="width:0;height:1.5pt" o:hralign="center" o:hrstd="t" o:hr="t"/>
        </w:pict>
      </w:r>
    </w:p>
    <w:bookmarkStart w:id="22" w:name="tóm-tắt"/>
    <w:p>
      <w:pPr>
        <w:pStyle w:val="Heading2"/>
      </w:pPr>
      <w:r>
        <w:t xml:space="preserve">Tóm tắt</w:t>
      </w:r>
    </w:p>
    <w:p>
      <w:pPr>
        <w:pStyle w:val="FirstParagraph"/>
      </w:pPr>
      <w:r>
        <w:t xml:space="preserve">Mối quan hệ hình chữ U ngược thông thường giữa cường độ quốc tế hóa và hiệu quả doanh nghiệp dựa trên ba điều kiện tiên quyết về cấu trúc: một thị trường nội địa khả thi, chi phí thương mại có thể quản lý được, và hỗ trợ thể chế vận hành được. Nghiên cứu này lập luận rằng khi cả ba điều kiện đồng thời vắng mặt, như tại các Quốc đảo nhỏ đang phát triển (Small Island Developing States, SIDS) Thái Bình Dương, mô hình phi tuyến kỳ vọng sụp đổ thành một quan hệ đơn điệu âm (monotone negative) mà chúng tôi gọi là</w:t>
      </w:r>
      <w:r>
        <w:t xml:space="preserve"> </w:t>
      </w:r>
      <w:r>
        <w:rPr>
          <w:bCs/>
          <w:b/>
        </w:rPr>
        <w:t xml:space="preserve">Hình phạt Quốc tế hóa Cưỡng bức (Forced Internationalization Penalty, FIP)</w:t>
      </w:r>
      <w:r>
        <w:t xml:space="preserve">. Khác với độ dốc đi xuống ở giai đoạn 1 trong lý thuyết quốc tế hóa ba giai đoạn, FIP không phải là chi phí học hỏi tạm thời có điểm ngoặt cuối cùng; nó là một điều kiện cấu trúc dai dẳng phát sinh từ sự cưỡng bức phải xuất khẩu bất chấp những bất lợi mang tính hệ thống. Sử dụng dữ liệu Khảo sát Doanh nghiệp Ngân hàng Thế giới từ 959 doanh nghiệp trên bảy nền kinh tế SIDS Thái Bình Dương (2009–2025), chúng tôi thấy rằng cường độ quốc tế hóa liên quan vững chắc và âm với năng suất lao động (β = −1,339, p &lt; .001 trong đặc tả hiệu ứng cố định quốc gia và năm; β = −3,351, p &lt; .001 khi không có hiệu ứng cố định quốc gia), không có độ cong bậc hai có ý nghĩa. Cả năng lực công nghệ lẫn áp dụng số đều không điều tiết độ dốc âm của quan hệ xuất khẩu–hiệu quả trong môi trường SIDS, mặc dù năng lực công nghệ có nâng mức năng suất tổng thể, nhất quán với cơ chế FIP: khi các điều kiện tiên quyết về cấu trúc vắng mặt, năng lực ở cấp doanh nghiệp không thể chuyển hướng quan hệ I–P sang vùng tích cực. Các phát hiện tái định khung mô hình hình chữ U ngược thành có điều kiện thay vì phổ quát, nhận diện các điều kiện biên cho lý thuyết điều tiết thể chế, và mang hàm ý trực tiếp cho Chương trình nghị sự Antigua và Barbuda dành cho SIDS.</w:t>
      </w:r>
    </w:p>
    <w:bookmarkEnd w:id="22"/>
    <w:bookmarkStart w:id="23" w:name="giới-thiệu"/>
    <w:p>
      <w:pPr>
        <w:pStyle w:val="Heading2"/>
      </w:pPr>
      <w:r>
        <w:t xml:space="preserve">1. Giới thiệu</w:t>
      </w:r>
    </w:p>
    <w:p>
      <w:pPr>
        <w:pStyle w:val="FirstParagraph"/>
      </w:pPr>
      <w:r>
        <w:t xml:space="preserve">Mối quan hệ giữa quốc tế hóa và hiệu quả doanh nghiệp (internationalization–performance, I–P) nằm trong số những quy luật thực nghiệm gây tranh cãi nhất của nghiên cứu kinh doanh quốc tế (international business, IB). Các phân tích tổng hợp (meta-analysis) nhất quán báo cáo tác động tích cực vừa phải về mặt trung bình (Kirca et al., 2011; Bausch &amp; Krist, 2007), song phương sai giữa các nghiên cứu là cực lớn và không đồng nhất, một lời mời khảo sát</w:t>
      </w:r>
      <w:r>
        <w:t xml:space="preserve"> </w:t>
      </w:r>
      <w:r>
        <w:rPr>
          <w:iCs/>
          <w:i/>
        </w:rPr>
        <w:t xml:space="preserve">các điều kiện</w:t>
      </w:r>
      <w:r>
        <w:t xml:space="preserve"> </w:t>
      </w:r>
      <w:r>
        <w:t xml:space="preserve">theo đó quốc tế hóa giúp ích hay gây hại cho hiệu quả (Verbeke &amp; Brugman, 2018).</w:t>
      </w:r>
    </w:p>
    <w:p>
      <w:pPr>
        <w:pStyle w:val="BodyText"/>
      </w:pPr>
      <w:r>
        <w:t xml:space="preserve">Lời giải lý thuyết chủ đạo đặt ra dạng hàm hình chữ U ngược (inverted-U) (Lu &amp; Beamish, 2004): quốc tế hóa trước tiên cải thiện hiệu quả thông qua lợi thế kinh tế nhờ quy mô, học hỏi và đa dạng hóa thị trường; sau đó, vượt qua một ngưỡng, chi phí phối hợp và tính phức tạp quản trị bào mòn các lợi ích này. Contractor, Kundu và Hsu (2003) mở rộng điều này thành đường cong S ba giai đoạn, trong đó ngay cả độ dốc đi xuống ban đầu ở giai đoạn 1 cũng là tạm thời và cuối cùng nhường chỗ cho lợi ích ròng. Cả hai khung phân tích chia sẻ một giả định nền tảng chung: rằng môi trường thể chế, dù có thể điều tiết</w:t>
      </w:r>
      <w:r>
        <w:t xml:space="preserve"> </w:t>
      </w:r>
      <w:r>
        <w:rPr>
          <w:iCs/>
          <w:i/>
        </w:rPr>
        <w:t xml:space="preserve">cường độ</w:t>
      </w:r>
      <w:r>
        <w:t xml:space="preserve"> </w:t>
      </w:r>
      <w:r>
        <w:t xml:space="preserve">của quan hệ I–P, không làm thay đổi hình dạng hay dấu cơ bản của nó.</w:t>
      </w:r>
    </w:p>
    <w:p>
      <w:pPr>
        <w:pStyle w:val="BodyText"/>
      </w:pPr>
      <w:r>
        <w:t xml:space="preserve">Bài báo này thách thức giả định đó. Chúng tôi lập luận rằng một số điều kiện cấu trúc, đặc trưng của các Quốc đảo nhỏ đang phát triển (SIDS), loại bỏ các điều kiện tiên quyết mà logic hình chữ U ngược phụ thuộc vào, thay thế mô hình phi tuyến kỳ vọng bằng một quan hệ đơn điệu âm. Chúng tôi gọi hiện tượng này là</w:t>
      </w:r>
      <w:r>
        <w:t xml:space="preserve"> </w:t>
      </w:r>
      <w:r>
        <w:rPr>
          <w:bCs/>
          <w:b/>
        </w:rPr>
        <w:t xml:space="preserve">Hình phạt Quốc tế hóa Cưỡng bức (Forced Internationalization Penalty, FIP)</w:t>
      </w:r>
      <w:r>
        <w:t xml:space="preserve">: tác động âm dai dẳng của cường độ quốc tế hóa lên hiệu quả doanh nghiệp trong các bối cảnh nơi ba điều kiện tiên quyết về cấu trúc đồng thời vắng mặt.</w:t>
      </w:r>
    </w:p>
    <w:p>
      <w:pPr>
        <w:pStyle w:val="BodyText"/>
      </w:pPr>
      <w:r>
        <w:t xml:space="preserve">SIDS đại diện cho một bối cảnh nghiên cứu I–P cực đoan về mặt lý thuyết nhưng ít được phục vụ về mặt thực nghiệm. Các nền kinh tế này được đặc trưng bởi thị trường nội địa siêu nhỏ (Tonga: 104.000 dân; Kiribati: 121.000), sự cô lập địa lý cực độ khuếch đại chi phí thương mại thêm 30–210% (Winters &amp; Martins, 2004), và các khoảng trống thể chế (institutional voids) toàn diện làm hạn chế khả năng doanh nghiệp chiếm hữu lợi tức từ hoạt động quốc tế (Briguglio, 1995; Khanna &amp; Palepu, 2010). Theo dõi hệ thống gần đây trên 121.249 điểm dữ liệu phát triển xác nhận các điều kiện này đã trở nên sâu sắc hơn thay vì thuyên giảm: tiến bộ trong giai đoạn 2020–2025 là chậm nhất từng được ghi nhận trên 15 trong 26 chuẩn theo dõi, với SIDS và châu Phi cận Sahara chịu ảnh hưởng không cân xứng (Pirlea et al., 2026). Phân tích độc lập đa chỉ báo trên sáu chiều phát triển, gồm nghèo đói, tuổi thọ, giáo dục, bình đẳng giới, khí hậu và điện năng, cho thấy thế giới đang phát triển với tốc độ chậm nhất trong 75 năm, với 54 nền kinh tế cách chuẩn của các nước phát triển hơn một thế kỷ theo quỹ đạo hiện tại, và SIDS hiện diện không cân xứng trong nhóm này (Mahler, Serajuddin, Wadhwa, &amp; Yonzan, 2026). Quan trọng là, các doanh nghiệp tại SIDS không</w:t>
      </w:r>
      <w:r>
        <w:t xml:space="preserve"> </w:t>
      </w:r>
      <w:r>
        <w:rPr>
          <w:iCs/>
          <w:i/>
        </w:rPr>
        <w:t xml:space="preserve">chọn</w:t>
      </w:r>
      <w:r>
        <w:t xml:space="preserve"> </w:t>
      </w:r>
      <w:r>
        <w:t xml:space="preserve">quốc tế hóa như một chiến lược tăng trưởng; đối với nhiều doanh nghiệp, xuất khẩu là một mệnh lệnh cấu trúc bị quy định bởi sự bất khả thi của việc đạt quy mô hiệu quả tối thiểu trong nước. Sự cưỡng bức này, tức quốc tế hóa dựa trên sinh tồn, làm thay đổi căn bản logic của quan hệ I–P.</w:t>
      </w:r>
    </w:p>
    <w:p>
      <w:pPr>
        <w:pStyle w:val="BodyText"/>
      </w:pPr>
      <w:r>
        <w:t xml:space="preserve">Bài báo này có ba đóng góp cho văn liệu IB. Thứ nhất, chúng tôi giới thiệu và định nghĩa lý thuyết FIP như một điều kiện biên của mô hình hình chữ U ngược, phân biệt nó với các khái niệm liền kề gồm chi phí giai đoạn 1 trong lý thuyết ba giai đoạn (Contractor et al., 2003), Bất lợi của tính nước ngoài (Liability of Foreignness) (Zaheer, 1995), và khởi nghiệp do nhu cầu (necessity entrepreneurship) (Sarasvathy et al., 2014). Thứ hai, chúng tôi cung cấp bằng chứng thực nghiệm từ 959 doanh nghiệp trên bảy nền kinh tế SIDS Thái Bình Dương sử dụng dữ liệu Khảo sát Doanh nghiệp Ngân hàng Thế giới (World Bank Enterprise Survey, WBES), phân tích I–P cấp doanh nghiệp toàn diện nhất tại SIDS Thái Bình Dương cho đến nay. Thứ ba, chúng tôi ghi nhận rằng năng lực ở cấp doanh nghiệp (năng lực công nghệ, áp dụng số) dường như không vượt qua được FIP, dịch chuyển cuộc thảo luận lý thuyết từ</w:t>
      </w:r>
      <w:r>
        <w:t xml:space="preserve"> </w:t>
      </w:r>
      <w:r>
        <w:t xml:space="preserve">“</w:t>
      </w:r>
      <w:r>
        <w:t xml:space="preserve">điều tiết thể chế của quan hệ I–P</w:t>
      </w:r>
      <w:r>
        <w:t xml:space="preserve">”</w:t>
      </w:r>
      <w:r>
        <w:t xml:space="preserve"> </w:t>
      </w:r>
      <w:r>
        <w:t xml:space="preserve">(Marano, Tallman, &amp; Teece, 2016) sang</w:t>
      </w:r>
      <w:r>
        <w:t xml:space="preserve"> </w:t>
      </w:r>
      <w:r>
        <w:t xml:space="preserve">“</w:t>
      </w:r>
      <w:r>
        <w:t xml:space="preserve">định đoạt thể chế của dấu quan hệ I–P</w:t>
      </w:r>
      <w:r>
        <w:t xml:space="preserve">”</w:t>
      </w:r>
      <w:r>
        <w:t xml:space="preserve">.</w:t>
      </w:r>
    </w:p>
    <w:p>
      <w:pPr>
        <w:pStyle w:val="BodyText"/>
      </w:pPr>
      <w:r>
        <w:t xml:space="preserve">Các phát hiện mang hàm ý chính sách trực tiếp trong khuôn khổ Chương trình nghị sự Antigua và Barbuda dành cho SIDS (United Nations General Assembly, 2024), gợi ý rằng các chiến lược dựa trên tiền đề tăng trưởng do xuất khẩu dẫn dắt có thể không tương thích một cách hệ thống với thực tế cấu trúc của các nền kinh tế vi mô Thái Bình Dương.</w:t>
      </w:r>
    </w:p>
    <w:bookmarkEnd w:id="23"/>
    <w:bookmarkStart w:id="28" w:name="cơ-sở-lý-thuyết-và-giả-thuyết"/>
    <w:p>
      <w:pPr>
        <w:pStyle w:val="Heading2"/>
      </w:pPr>
      <w:r>
        <w:t xml:space="preserve">2. Cơ sở lý thuyết và giả thuyết</w:t>
      </w:r>
    </w:p>
    <w:bookmarkStart w:id="24" w:name="X9ec63b15dcf09f4d40f608b78a9a59a9af40861"/>
    <w:p>
      <w:pPr>
        <w:pStyle w:val="Heading3"/>
      </w:pPr>
      <w:r>
        <w:t xml:space="preserve">2.1 Mô hình hình chữ U ngược và các điều kiện tiên quyết về cấu trúc</w:t>
      </w:r>
    </w:p>
    <w:p>
      <w:pPr>
        <w:pStyle w:val="FirstParagraph"/>
      </w:pPr>
      <w:r>
        <w:t xml:space="preserve">Giả thuyết hình chữ U ngược trong nghiên cứu I–P bắt nguồn từ logic chi phí-lợi ích: khi doanh nghiệp mở rộng vào thị trường nước ngoài, các tác động tích cực sớm (lợi thế kinh tế nhờ quy mô, thu nhận tri thức, đa dạng hóa thị trường) ban đầu chiếm ưu thế, nhưng vượt qua một ngưỡng, tính phức tạp quản trị gia tăng, chi phí phối hợp và bất lợi của tính nước ngoài đảo ngược quỹ đạo hiệu quả (Lu &amp; Beamish, 2004; Hitt, Hoskisson, &amp; Kim, 1997). Điểm ngưỡng (turning point), thường được ước lượng nằm giữa 30% và 70% của tỷ phần doanh thu nước ngoài trên tổng doanh thu (foreign sales to total sales, FSTS), đại diện cho điểm tại đó chi phí biên bằng lợi ích biên của việc quốc tế hóa thêm.</w:t>
      </w:r>
    </w:p>
    <w:p>
      <w:pPr>
        <w:pStyle w:val="BodyText"/>
      </w:pPr>
      <w:r>
        <w:t xml:space="preserve">Logic này dựa, một cách ngầm định, trên ba điều kiện tiên quyết về cấu trúc hiếm khi được nêu ra nhưng thường xuyên được thỏa mãn trong các mẫu nghiên cứu IB chính thống:</w:t>
      </w:r>
    </w:p>
    <w:p>
      <w:pPr>
        <w:pStyle w:val="BodyText"/>
      </w:pPr>
      <w:r>
        <w:rPr>
          <w:bCs/>
          <w:b/>
        </w:rPr>
        <w:t xml:space="preserve">Điều kiện tiên quyết 1: Một thị trường nội địa khả thi.</w:t>
      </w:r>
      <w:r>
        <w:t xml:space="preserve"> </w:t>
      </w:r>
      <w:r>
        <w:t xml:space="preserve">Logic hình chữ U ngược giả định rằng doanh nghiệp có một cơ sở trong nước vận hành được, cung cấp doanh thu, nguồn lực và học hỏi tổ chức trước và trong quá trình quốc tế hóa (Johanson &amp; Vahlne, 1977; 2009). Khi thị trường nội địa không khả thi, quá nhỏ để hỗ trợ quy mô hiệu quả tối thiểu cho ngay cả các hoạt động cơ bản, doanh nghiệp bị cưỡng bức về mặt cấu trúc phải xuất khẩu bất kể mức độ sẵn sàng chiến lược hay năng lực. Giả định</w:t>
      </w:r>
      <w:r>
        <w:t xml:space="preserve"> </w:t>
      </w:r>
      <w:r>
        <w:t xml:space="preserve">“</w:t>
      </w:r>
      <w:r>
        <w:t xml:space="preserve">lựa chọn vào xuất khẩu</w:t>
      </w:r>
      <w:r>
        <w:t xml:space="preserve">”</w:t>
      </w:r>
      <w:r>
        <w:t xml:space="preserve"> </w:t>
      </w:r>
      <w:r>
        <w:t xml:space="preserve">làm nền tảng cho hầu hết các mô hình I–P bị phá vỡ.</w:t>
      </w:r>
    </w:p>
    <w:p>
      <w:pPr>
        <w:pStyle w:val="BodyText"/>
      </w:pPr>
      <w:r>
        <w:rPr>
          <w:bCs/>
          <w:b/>
        </w:rPr>
        <w:t xml:space="preserve">Điều kiện tiên quyết 2: Chi phí thương mại có thể quản lý được.</w:t>
      </w:r>
      <w:r>
        <w:t xml:space="preserve"> </w:t>
      </w:r>
      <w:r>
        <w:t xml:space="preserve">Mô hình tiêu chuẩn giả định rằng, ít nhất ban đầu, doanh thu xuất khẩu vượt chi phí xuất khẩu, cho phép một giai đoạn lợi tức quốc tế hóa dương ròng. Tại các nền kinh tế bị cô lập về địa lý, chi phí thương mại có thể cực đoan đến mức điều kiện này bị vi phạm ngay cả với cường độ xuất khẩu nhỏ. Winters và Martins (2004) ghi nhận mức phí thương mại tăng thêm 30–210% đối với các nền kinh tế nhỏ ở xa, phần lớn độc lập với hiệu quả doanh nghiệp hay lựa chọn chiến lược.</w:t>
      </w:r>
    </w:p>
    <w:p>
      <w:pPr>
        <w:pStyle w:val="BodyText"/>
      </w:pPr>
      <w:r>
        <w:rPr>
          <w:bCs/>
          <w:b/>
        </w:rPr>
        <w:t xml:space="preserve">Điều kiện tiên quyết 3: Hỗ trợ thể chế vận hành được.</w:t>
      </w:r>
      <w:r>
        <w:t xml:space="preserve"> </w:t>
      </w:r>
      <w:r>
        <w:t xml:space="preserve">Cả lý thuyết thể chế (Scott, 1995; North, 1990) lẫn văn liệu khoảng trống thể chế (Khanna &amp; Palepu, 2010; Doh et al., 2017) đều coi chất lượng của các thể chế hỗ trợ thị trường là yếu tố điều tiết cường độ quan hệ I–P. Điều này giả định trước rằng các thể chế biến thiên trên một dải liên tục nơi một mức hỗ trợ vận hành nào đó tồn tại ngay cả ở đầu thấp. Các khoảng trống thể chế toàn diện, gồm vắng mặt trung gian tài chính, thực thi hợp đồng không đáng tin cậy, hạ tầng tạo thuận lợi thương mại hạn chế, không chỉ làm suy yếu hình chữ U ngược; chúng có thể loại bỏ hoàn toàn cơ chế tạo ra lợi tức dương từ quốc tế hóa.</w:t>
      </w:r>
    </w:p>
    <w:bookmarkEnd w:id="24"/>
    <w:bookmarkStart w:id="25" w:name="Xdc47a1c7cb30c44ab8e652a65fba0812435027f"/>
    <w:p>
      <w:pPr>
        <w:pStyle w:val="Heading3"/>
      </w:pPr>
      <w:r>
        <w:t xml:space="preserve">2.2 Hình phạt Quốc tế hóa Cưỡng bức: Định nghĩa lý thuyết</w:t>
      </w:r>
    </w:p>
    <w:p>
      <w:pPr>
        <w:pStyle w:val="FirstParagraph"/>
      </w:pPr>
      <w:r>
        <w:t xml:space="preserve">Chúng tôi định nghĩa</w:t>
      </w:r>
      <w:r>
        <w:t xml:space="preserve"> </w:t>
      </w:r>
      <w:r>
        <w:rPr>
          <w:bCs/>
          <w:b/>
        </w:rPr>
        <w:t xml:space="preserve">Hình phạt Quốc tế hóa Cưỡng bức (FIP)</w:t>
      </w:r>
      <w:r>
        <w:t xml:space="preserve"> </w:t>
      </w:r>
      <w:r>
        <w:t xml:space="preserve">là tác động đơn điệu âm của cường độ quốc tế hóa lên hiệu quả doanh nghiệp trong các bối cảnh nơi ba điều kiện tiên quyết về cấu trúc nêu trên đồng thời vắng mặt. FIP khác biệt với các khái niệm liên quan ở bốn khía cạnh:</w:t>
      </w:r>
    </w:p>
    <w:p>
      <w:pPr>
        <w:pStyle w:val="BodyText"/>
      </w:pPr>
      <w:r>
        <w:rPr>
          <w:iCs/>
          <w:i/>
        </w:rPr>
        <w:t xml:space="preserve">So với chi phí giai đoạn 1 (Contractor et al., 2003)</w:t>
      </w:r>
      <w:r>
        <w:t xml:space="preserve">: Chi phí giai đoạn 1 là tạm thời, chúng phản ánh đầu tư thiết lập và học hỏi ban đầu mang lại lợi ích ròng một khi vượt qua điểm ngưỡng. FIP không có điểm ngưỡng lý thuyết nào trong dải giá trị FSTS quan sát được, vì ràng buộc mang tính cấu trúc (thị trường nội địa không khả thi, chi phí thương mại cực đoan, khoảng trống thể chế) thay vì mang tính chuyển tiếp.</w:t>
      </w:r>
    </w:p>
    <w:p>
      <w:pPr>
        <w:pStyle w:val="BodyText"/>
      </w:pPr>
      <w:r>
        <w:rPr>
          <w:iCs/>
          <w:i/>
        </w:rPr>
        <w:t xml:space="preserve">So với Bất lợi của tính nước ngoài (Zaheer, 1995)</w:t>
      </w:r>
      <w:r>
        <w:t xml:space="preserve">: Bất lợi của tính nước ngoài biểu thị các chi phí bổ sung mà doanh nghiệp nước ngoài gánh chịu khi hoạt động ở thị trường sở tại so với các doanh nghiệp nội địa đương nhiệm. FIP vận hành ở phía</w:t>
      </w:r>
      <w:r>
        <w:t xml:space="preserve"> </w:t>
      </w:r>
      <w:r>
        <w:rPr>
          <w:iCs/>
          <w:i/>
        </w:rPr>
        <w:t xml:space="preserve">thị trường quê nhà</w:t>
      </w:r>
      <w:r>
        <w:t xml:space="preserve"> </w:t>
      </w:r>
      <w:r>
        <w:t xml:space="preserve">của phương trình, nó là hình phạt mà doanh nghiệp SIDS gánh chịu khi xuất khẩu, không phải hình phạt mà các công ty đa quốc gia gánh chịu khi gia nhập thị trường SIDS.</w:t>
      </w:r>
    </w:p>
    <w:p>
      <w:pPr>
        <w:pStyle w:val="BodyText"/>
      </w:pPr>
      <w:r>
        <w:rPr>
          <w:iCs/>
          <w:i/>
        </w:rPr>
        <w:t xml:space="preserve">So với khởi nghiệp do nhu cầu (Sarasvathy et al., 2014)</w:t>
      </w:r>
      <w:r>
        <w:t xml:space="preserve">: Các nhà khởi nghiệp do nhu cầu trong bối cảnh phát triển thường đạt được sự ngang bằng hiệu quả với các nhà khởi nghiệp do cơ hội khi có đủ thời gian và hỗ trợ thể chế. FIP đặc trưng cho các bối cảnh nơi hỗ trợ thể chế vắng mặt một cách hệ thống, khiến con đường quốc tế hóa do nhu cầu dẫn dắt bị bất lợi dai dẳng.</w:t>
      </w:r>
    </w:p>
    <w:p>
      <w:pPr>
        <w:pStyle w:val="BodyText"/>
      </w:pPr>
      <w:r>
        <w:rPr>
          <w:iCs/>
          <w:i/>
        </w:rPr>
        <w:t xml:space="preserve">So với tính dễ tổn thương kinh tế của SIDS (Briguglio, 1995)</w:t>
      </w:r>
      <w:r>
        <w:t xml:space="preserve">: Chỉ số tổn thương của Briguglio nắm bắt sự phơi nhiễm kinh tế vĩ mô trước các cú sốc bên ngoài. FIP là một construct vi mô, ở cấp doanh nghiệp: nó nhận diện cơ chế hiệu quả qua đó tính dễ tổn thương cấu trúc vĩ mô chuyển hóa thành kết quả ở cấp doanh nghiệp.</w:t>
      </w:r>
    </w:p>
    <w:bookmarkEnd w:id="25"/>
    <w:bookmarkStart w:id="26" w:name="X7e6363ee5bac3467e841ab0e9a1d2b7130d63b5"/>
    <w:p>
      <w:pPr>
        <w:pStyle w:val="Heading3"/>
      </w:pPr>
      <w:r>
        <w:t xml:space="preserve">2.3 Bối cảnh SIDS và quốc tế hóa dựa trên sinh tồn</w:t>
      </w:r>
    </w:p>
    <w:p>
      <w:pPr>
        <w:pStyle w:val="FirstParagraph"/>
      </w:pPr>
      <w:r>
        <w:t xml:space="preserve">Các nền kinh tế SIDS Thái Bình Dương thể hiện cả ba điều kiện tiên quyết bị vi phạm ở dạng cực đoan. Với dân số dao động từ 94.000 (Micronesia) đến 10 triệu (Papua New Guinea, lớn nhất trong mẫu của chúng tôi), thị trường nội địa không thể duy trì doanh nghiệp chế tạo hay dịch vụ ở quy mô hiệu quả tối thiểu. Read (2004) chứng minh rằng các nền kinh tế đảo nhỏ nhất thực chất không có cấu trúc lựa chọn cho việc kiêng xuất khẩu, doanh nghiệp hoặc xuất khẩu hoặc thoát khỏi thị trường. Chúng tôi gọi mô hình này là</w:t>
      </w:r>
      <w:r>
        <w:t xml:space="preserve"> </w:t>
      </w:r>
      <w:r>
        <w:rPr>
          <w:iCs/>
          <w:i/>
        </w:rPr>
        <w:t xml:space="preserve">quốc tế hóa dựa trên sinh tồn</w:t>
      </w:r>
      <w:r>
        <w:t xml:space="preserve">: không phải mở rộng chiến lược mà là sự cưỡng bức cấu trúc.</w:t>
      </w:r>
    </w:p>
    <w:p>
      <w:pPr>
        <w:pStyle w:val="BodyText"/>
      </w:pPr>
      <w:r>
        <w:t xml:space="preserve">Dưới quốc tế hóa dựa trên sinh tồn, FSTS, thước đo tiêu chuẩn của cường độ quốc tế hóa, không còn chỉ định cam kết tự nguyện với thị trường nước ngoài; nó đại diện cho</w:t>
      </w:r>
      <w:r>
        <w:t xml:space="preserve"> </w:t>
      </w:r>
      <w:r>
        <w:rPr>
          <w:iCs/>
          <w:i/>
        </w:rPr>
        <w:t xml:space="preserve">mức độ bất cập của thị trường nội địa</w:t>
      </w:r>
      <w:r>
        <w:t xml:space="preserve">. Các doanh nghiệp có FSTS cao hơn không nhất thiết là những doanh nghiệp có năng lực quốc tế vượt trội; chúng có thể chỉ đơn giản đối mặt với các ràng buộc thị trường nội địa gay gắt hơn. Cách diễn giải lại FSTS trong bối cảnh SIDS này tạo ra một dự đoán thực nghiệm mới:</w:t>
      </w:r>
    </w:p>
    <w:p>
      <w:pPr>
        <w:pStyle w:val="BodyText"/>
      </w:pPr>
      <w:r>
        <w:rPr>
          <w:bCs/>
          <w:b/>
        </w:rPr>
        <w:t xml:space="preserve">Giả thuyết 1 (giả thuyết FIP)</w:t>
      </w:r>
      <w:r>
        <w:t xml:space="preserve">: Tại SIDS Thái Bình Dương, cường độ quốc tế hóa liên quan âm với hiệu quả doanh nghiệp mà không có điểm ngưỡng bậc hai có ý nghĩa, cho thấy Hình phạt Quốc tế hóa Cưỡng bức thay vì một quan hệ hình chữ U ngược.</w:t>
      </w:r>
    </w:p>
    <w:bookmarkEnd w:id="26"/>
    <w:bookmarkStart w:id="27" w:name="vai-trò-của-năng-lực-ở-cấp-doanh-nghiệp"/>
    <w:p>
      <w:pPr>
        <w:pStyle w:val="Heading3"/>
      </w:pPr>
      <w:r>
        <w:t xml:space="preserve">2.4 Vai trò của năng lực ở cấp doanh nghiệp</w:t>
      </w:r>
    </w:p>
    <w:p>
      <w:pPr>
        <w:pStyle w:val="FirstParagraph"/>
      </w:pPr>
      <w:r>
        <w:t xml:space="preserve">Trong các bối cảnh thể chế ở châu Á lục địa và nơi khác, năng lực ở cấp doanh nghiệp điều tiết quan hệ I–P. Năng lực công nghệ (Lall, 1992; Goedhuys &amp; Sleuwaegen, 2013) và áp dụng số (Teece, 2007) đã được chứng minh là dịch chuyển đường cong I–P lên trên, cho phép doanh nghiệp đạt hiệu quả tốt hơn ở bất kỳ mức quốc tế hóa nào và làm thay đổi điểm ngưỡng. Cơ chế lý thuyết là năng lực làm giảm chi phí tính phức tạp quản trị trên phần đi xuống của hình chữ U ngược.</w:t>
      </w:r>
    </w:p>
    <w:p>
      <w:pPr>
        <w:pStyle w:val="BodyText"/>
      </w:pPr>
      <w:r>
        <w:t xml:space="preserve">Trong bối cảnh FIP, cơ chế điều tiết này có thể bị vô hiệu. Nếu quan hệ I–P âm bắt nguồn từ các điều kiện cấu trúc (thị trường nội địa không khả thi, chi phí thương mại cực đoan, khoảng trống thể chế) thay vì từ tính phức tạp quản trị, thì năng lực ở cấp doanh nghiệp giải quyết tính phức tạp quản trị sẽ không chuyển hướng được quan hệ này. Một doanh nghiệp SIDS có năng lực công nghệ vượt trội vẫn đối mặt với mức khuếch đại chi phí thương mại 30–210%; một doanh nghiệp SIDS có website vẫn đối mặt với sự vắng mặt của các trung gian tài chính vận hành được cho tài trợ thương mại. Cơ chế cấu trúc tạo ra FIP vận hành ở một cấp độ mà năng lực ở cấp doanh nghiệp khó có thể bù đắp.</w:t>
      </w:r>
    </w:p>
    <w:p>
      <w:pPr>
        <w:pStyle w:val="BodyText"/>
      </w:pPr>
      <w:r>
        <w:rPr>
          <w:bCs/>
          <w:b/>
        </w:rPr>
        <w:t xml:space="preserve">Giả thuyết 2 (giả thuyết null về năng lực)</w:t>
      </w:r>
      <w:r>
        <w:t xml:space="preserve">: Tại SIDS Thái Bình Dương, năng lực công nghệ và áp dụng số không điều tiết có ý nghĩa thống kê quan hệ quốc tế hóa–hiệu quả.</w:t>
      </w:r>
    </w:p>
    <w:p>
      <w:pPr>
        <w:pStyle w:val="BodyText"/>
      </w:pPr>
      <w:r>
        <w:t xml:space="preserve">Lưu ý: H2 được hình thành như một giả thuyết kỳ vọng null dựa trên cơ chế lý thuyết FIP, không phải một lập luận về sức mạnh thống kê (power). Cách định khung này tuân theo hướng dẫn phương pháp luận của Haans, Pieters và He (2016) về việc giả thuyết hóa kết quả null vì các lý do có động cơ lý thuyết.</w:t>
      </w:r>
    </w:p>
    <w:bookmarkEnd w:id="27"/>
    <w:bookmarkEnd w:id="28"/>
    <w:bookmarkStart w:id="32" w:name="dữ-liệu-và-phương-pháp"/>
    <w:p>
      <w:pPr>
        <w:pStyle w:val="Heading2"/>
      </w:pPr>
      <w:r>
        <w:t xml:space="preserve">3. Dữ liệu và phương pháp</w:t>
      </w:r>
    </w:p>
    <w:bookmarkStart w:id="29" w:name="nguồn-dữ-liệu"/>
    <w:p>
      <w:pPr>
        <w:pStyle w:val="Heading3"/>
      </w:pPr>
      <w:r>
        <w:t xml:space="preserve">3.1 Nguồn dữ liệu</w:t>
      </w:r>
    </w:p>
    <w:p>
      <w:pPr>
        <w:pStyle w:val="FirstParagraph"/>
      </w:pPr>
      <w:r>
        <w:t xml:space="preserve">Chúng tôi sử dụng dữ liệu gộp từ Khảo sát Doanh nghiệp Ngân hàng Thế giới (WBES), rút từ các đợt khảo sát được thực hiện tại các nền kinh tế SIDS Thái Bình Dương giữa năm 2009 và 2025. WBES sử dụng lấy mẫu ngẫu nhiên phân tầng với thiết kế xác suất tỷ lệ với quy mô theo các tầng quy mô doanh nghiệp (5–19, 20–99, 100+ lao động) và các ngành (chế tạo, dịch vụ, bán lẻ). Chúng tôi bao gồm tất cả quan sát doanh nghiệp-năm từ các nền kinh tế đáp ứng phân loại SIDS: Fiji, Kiribati, Papua New Guinea, Samoa, Solomon Islands, Tonga và Vanuatu (bảy nền kinh tế). Mẫu phân tích, gồm các quan sát có giá trị không khuyết về năng suất lao động, cường độ xuất khẩu và tuổi doanh nghiệp, bao gồm</w:t>
      </w:r>
      <w:r>
        <w:t xml:space="preserve"> </w:t>
      </w:r>
      <w:r>
        <w:rPr>
          <w:bCs/>
          <w:b/>
        </w:rPr>
        <w:t xml:space="preserve">959 doanh nghiệp</w:t>
      </w:r>
      <w:r>
        <w:t xml:space="preserve"> </w:t>
      </w:r>
      <w:r>
        <w:t xml:space="preserve">trên nhiều đợt khảo sát quốc gia-năm.</w:t>
      </w:r>
    </w:p>
    <w:bookmarkEnd w:id="29"/>
    <w:bookmarkStart w:id="30" w:name="đo-lường"/>
    <w:p>
      <w:pPr>
        <w:pStyle w:val="Heading3"/>
      </w:pPr>
      <w:r>
        <w:t xml:space="preserve">3.2 Đo lường</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biểu thị bằng USD đã điều chỉnh theo ngang giá sức mua không đổi: ln(d2/l1). Thước đo này đã được sử dụng rộng rãi trong các nghiên cứu năng suất ở cấp doanh nghiệp (Goedhuys &amp; Sleuwaegen, 2013; World Bank, 2020). Trong số 959 quan sát phân tích, có 132 (13,8%) là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(Foreign Sales to Total Sales) từ các mục WBES d3b + d3c (tỷ lệ phần trăm doanh thu từ xuất khẩu gián tiếp cộng trực tiếp), chia cho 100. Đối với các mô hình chính, FSTS được trung-tâm-hóa theo trung bình ở cấp đợt khảo sát: FSTS_c = FSTS − mean_wave(FSTS), cho ra FSTS trung bình 0,048 (độ lệch chuẩn không báo cáo do mẫu con nhà xuất khẩu nhỏ). Trung-tâm-hóa theo trung bình triệt tiêu khác biệt mức giữa các đợt trong khi giữ lại biến thiên trong cùng đợt, theo thông lệ tiêu chuẩn cho các nghiên cứu xem xét độ cong FSTS (Haans et al., 2016).</w:t>
      </w:r>
    </w:p>
    <w:p>
      <w:pPr>
        <w:pStyle w:val="BodyText"/>
      </w:pPr>
      <w:r>
        <w:rPr>
          <w:bCs/>
          <w:b/>
        </w:rPr>
        <w:t xml:space="preserve">Chỉ số năng lực công nghệ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trung bình chuẩn hóa z của hai chỉ báo này.</w:t>
      </w:r>
    </w:p>
    <w:p>
      <w:pPr>
        <w:pStyle w:val="BodyText"/>
      </w:pPr>
      <w:r>
        <w:rPr>
          <w:bCs/>
          <w:b/>
        </w:rPr>
        <w:t xml:space="preserve">Chỉ số áp dụng số (DAI_z).</w:t>
      </w:r>
      <w:r>
        <w:t xml:space="preserve"> </w:t>
      </w:r>
      <w:r>
        <w:t xml:space="preserve">DAI được đo bằng mục WBES c22b (doanh nghiệp có website vận hành, nhị phân). Đây là một biến đại diện Tier-1 nắm bắt</w:t>
      </w:r>
      <w:r>
        <w:t xml:space="preserve"> </w:t>
      </w:r>
      <w:r>
        <w:rPr>
          <w:iCs/>
          <w:i/>
        </w:rPr>
        <w:t xml:space="preserve">sự áp dụng website nền tảng</w:t>
      </w:r>
      <w:r>
        <w:t xml:space="preserve">, bước đầu tiên của hiện diện số. Nó phù hợp với bối cảnh SIDS nơi hạ tầng số tiên tiến bị hạn chế, chỉ 5% dân số các nước thu nhập thấp có kỹ năng số cơ bản vào năm 2023, và các nền kinh tế thu nhập cao chiếm 77% công suất trung tâm dữ liệu toàn cầu (Mahler, Wang, &amp; Weber, 2026). DAI_z là giá trị chuẩn hóa z. Chúng tôi không tuyên bố đo lường năng lực số động, vốn đòi hỏi các chỉ báo nhiều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Sở hữu nước ngoài (foreign_own_pct) là tỷ lệ phần trăm vốn doanh nghiệp do các thực thể nước ngoài nắm giữ (b2b). Đây là các biến kiểm soát tiêu chuẩn trong nghiên cứu I–P ở cấp doanh nghiệp (Hitt et al., 1997; Lu &amp; Beamish, 2004).</w:t>
      </w:r>
    </w:p>
    <w:p>
      <w:pPr>
        <w:pStyle w:val="BodyText"/>
      </w:pPr>
      <w:r>
        <w:rPr>
          <w:iCs/>
          <w:i/>
        </w:rPr>
        <w:t xml:space="preserve">Bảng 0: Định nghĩa biến và cách xây dựng từ WBES.</w:t>
      </w:r>
    </w:p>
    <w:tbl>
      <w:tblPr>
        <w:tblStyle w:val="Table"/>
        <w:tblW w:type="pct" w:w="5000"/>
        <w:tblLook w:firstRow="1" w:lastRow="0" w:firstColumn="0" w:lastColumn="0" w:noHBand="0" w:noVBand="0" w:val="0020"/>
        <w:jc w:val="start"/>
      </w:tblPr>
      <w:tblGrid>
        <w:gridCol w:w="549"/>
        <w:gridCol w:w="452"/>
        <w:gridCol w:w="3297"/>
        <w:gridCol w:w="362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giảm phát PPP dùng giảm phát ICP của Ngân hàng Thế giới theo năm khảo sát</w:t>
            </w:r>
          </w:p>
        </w:tc>
        <w:tc>
          <w:tcPr/>
          <w:p>
            <w:pPr>
              <w:pStyle w:val="Compact"/>
              <w:jc w:val="left"/>
            </w:pPr>
            <w:r>
              <w:t xml:space="preserve">Biến phụ thuộc, năng suất lao động log (Goedhuys &amp; Sleuwaegen, 2013)</w:t>
            </w:r>
          </w:p>
        </w:tc>
      </w:tr>
      <w:tr>
        <w:tc>
          <w:tcPr/>
          <w:p>
            <w:pPr>
              <w:pStyle w:val="Compact"/>
              <w:jc w:val="left"/>
            </w:pPr>
            <w:r>
              <w:t xml:space="preserve">FSTS</w:t>
            </w:r>
          </w:p>
        </w:tc>
        <w:tc>
          <w:tcPr/>
          <w:p>
            <w:pPr>
              <w:pStyle w:val="Compact"/>
              <w:jc w:val="left"/>
            </w:pPr>
            <w:r>
              <w:t xml:space="preserve">d3b + d3c</w:t>
            </w:r>
          </w:p>
        </w:tc>
        <w:tc>
          <w:tcPr/>
          <w:p>
            <w:pPr>
              <w:pStyle w:val="Compact"/>
              <w:jc w:val="left"/>
            </w:pPr>
            <w:r>
              <w:t xml:space="preserve">(d3b + d3c) / 100; tỷ phần tổng doanh thu từ xuất khẩu</w:t>
            </w:r>
          </w:p>
        </w:tc>
        <w:tc>
          <w:tcPr/>
          <w:p>
            <w:pPr>
              <w:pStyle w:val="Compact"/>
              <w:jc w:val="left"/>
            </w:pPr>
            <w:r>
              <w:t xml:space="preserve">Cường độ quốc tế hóa, thô (Haans et al., 2016)</w:t>
            </w:r>
          </w:p>
        </w:tc>
      </w:tr>
      <w:tr>
        <w:tc>
          <w:tcPr/>
          <w:p>
            <w:pPr>
              <w:pStyle w:val="Compact"/>
              <w:jc w:val="left"/>
            </w:pPr>
            <w:r>
              <w:t xml:space="preserve">FSTS_c</w:t>
            </w:r>
          </w:p>
        </w:tc>
        <w:tc>
          <w:tcPr/>
          <w:p>
            <w:pPr>
              <w:pStyle w:val="Compact"/>
              <w:jc w:val="left"/>
            </w:pPr>
            <w:r>
              <w:t xml:space="preserve">d3b + d3c</w:t>
            </w:r>
          </w:p>
        </w:tc>
        <w:tc>
          <w:tcPr/>
          <w:p>
            <w:pPr>
              <w:pStyle w:val="Compact"/>
              <w:jc w:val="left"/>
            </w:pPr>
            <w:r>
              <w:t xml:space="preserve">FSTS − mean_wave(FSTS); trung-tâm-hóa theo trung bình cấp đợt</w:t>
            </w:r>
          </w:p>
        </w:tc>
        <w:tc>
          <w:tcPr/>
          <w:p>
            <w:pPr>
              <w:pStyle w:val="Compact"/>
              <w:jc w:val="left"/>
            </w:pPr>
            <w:r>
              <w:t xml:space="preserve">Cường độ quốc tế hóa, đã trung-tâm-hóa (Contractor et al., 2003)</w:t>
            </w:r>
          </w:p>
        </w:tc>
      </w:tr>
      <w:tr>
        <w:tc>
          <w:tcPr/>
          <w:p>
            <w:pPr>
              <w:pStyle w:val="Compact"/>
              <w:jc w:val="left"/>
            </w:pPr>
            <w:r>
              <w:t xml:space="preserve">FSTS_c²</w:t>
            </w:r>
          </w:p>
        </w:tc>
        <w:tc>
          <w:tcPr/>
          <w:p>
            <w:pPr>
              <w:pStyle w:val="Compact"/>
              <w:jc w:val="left"/>
            </w:pPr>
            <w:r>
              <w:t xml:space="preserve">d3b + d3c</w:t>
            </w:r>
          </w:p>
        </w:tc>
        <w:tc>
          <w:tcPr/>
          <w:p>
            <w:pPr>
              <w:pStyle w:val="Compact"/>
              <w:jc w:val="left"/>
            </w:pPr>
            <w:r>
              <w:t xml:space="preserve">FSTS_c²; kiểm định độ cong (H1)</w:t>
            </w:r>
          </w:p>
        </w:tc>
        <w:tc>
          <w:tcPr/>
          <w:p>
            <w:pPr>
              <w:pStyle w:val="Compact"/>
              <w:jc w:val="left"/>
            </w:pPr>
            <w:r>
              <w:t xml:space="preserve">Số hạng bậc hai; β₂ &lt; 0 nếu hình chữ U ngược, n.s. nếu FIP đơn điệu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chứng nhận chất lượng + cấp phép công nghệ nước ngoài</w:t>
            </w:r>
          </w:p>
        </w:tc>
        <w:tc>
          <w:tcPr/>
          <w:p>
            <w:pPr>
              <w:pStyle w:val="Compact"/>
              <w:jc w:val="left"/>
            </w:pPr>
            <w:r>
              <w:t xml:space="preserve">Năng lực công nghệ, biến đại diện Tier-1;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hiện diện website vận hành, chỉ Tier-1</w:t>
            </w:r>
          </w:p>
        </w:tc>
        <w:tc>
          <w:tcPr/>
          <w:p>
            <w:pPr>
              <w:pStyle w:val="Compact"/>
              <w:jc w:val="left"/>
            </w:pPr>
            <w:r>
              <w:t xml:space="preserve">Áp dụng số, biến đại diện website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Kiểm soát,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do các thực thể nước ngoài nắm giữ</w:t>
            </w:r>
          </w:p>
        </w:tc>
        <w:tc>
          <w:tcPr/>
          <w:p>
            <w:pPr>
              <w:pStyle w:val="Compact"/>
              <w:jc w:val="left"/>
            </w:pPr>
            <w:r>
              <w:t xml:space="preserve">Kiểm soát,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(7 nền kinh tế SIDS)</w:t>
            </w:r>
          </w:p>
        </w:tc>
        <w:tc>
          <w:tcPr/>
          <w:p>
            <w:pPr>
              <w:pStyle w:val="Compact"/>
              <w:jc w:val="left"/>
            </w:pPr>
            <w:r>
              <w:t xml:space="preserve">Hấp thụ tính dị biệt quốc gia bất biến theo thời gian: chất lượng thể chế, độ xa cách, chi phí thương mại</w:t>
            </w:r>
          </w:p>
        </w:tc>
      </w:tr>
      <w:tr>
        <w:tc>
          <w:tcPr/>
          <w:p>
            <w:pPr>
              <w:pStyle w:val="Compact"/>
              <w:jc w:val="left"/>
            </w:pPr>
            <w:r>
              <w:t xml:space="preserve">λ_t</w:t>
            </w:r>
          </w:p>
        </w:tc>
        <w:tc>
          <w:tcPr/>
          <w:p>
            <w:pPr>
              <w:pStyle w:val="Compact"/>
              <w:jc w:val="left"/>
            </w:pPr>
            <w:r>
              <w:t xml:space="preserve">đợt khảo sát</w:t>
            </w:r>
          </w:p>
        </w:tc>
        <w:tc>
          <w:tcPr/>
          <w:p>
            <w:pPr>
              <w:pStyle w:val="Compact"/>
              <w:jc w:val="left"/>
            </w:pPr>
            <w:r>
              <w:t xml:space="preserve">Hiệu ứng cố định năm-đợt (2009, 2015, 2023, 2024, 2025)</w:t>
            </w:r>
          </w:p>
        </w:tc>
        <w:tc>
          <w:tcPr/>
          <w:p>
            <w:pPr>
              <w:pStyle w:val="Compact"/>
              <w:jc w:val="left"/>
            </w:pPr>
            <w:r>
              <w:t xml:space="preserve">Hấp thụ các xu hướng thời gian chung</w:t>
            </w:r>
          </w:p>
        </w:tc>
      </w:tr>
    </w:tbl>
    <w:p>
      <w:pPr>
        <w:pStyle w:val="BodyText"/>
      </w:pPr>
      <w:r>
        <w:rPr>
          <w:iCs/>
          <w:i/>
        </w:rPr>
        <w:t xml:space="preserve">Ghi chú.</w:t>
      </w:r>
      <w:r>
        <w:t xml:space="preserve"> </w:t>
      </w:r>
      <w:r>
        <w:t xml:space="preserve">b8 và e6 được mã hóa lại từ mã phản hồi WBES (1 = có, 2 = không) thành nhị phân (1/0). c22b được mã hóa lại tương tự. TCI_z và DAI_z được chuẩn hóa trên toàn mẫu gộp đầy đủ. Chuyển đổi PPP dùng giảm phát ICP của Ngân hàng Thế giới khớp với năm khảo sát. FSTS_c được trung-tâm-hóa trong mỗi đợt quốc gia-năm để các ước lượng điểm ngưỡng không bị nhiễu bởi dịch chuyển thành phần giữa các đợt (Haans et al., 2016). DAI chỉ nắm bắt hiện diện website tĩnh Tier-1; các chỉ báo Tier-2 (thanh toán điện tử) và Tier-3 (đám mây/ERP) không có sẵn cho các đợt WBES này.</w:t>
      </w:r>
    </w:p>
    <w:bookmarkEnd w:id="30"/>
    <w:bookmarkStart w:id="31" w:name="trình-tự-mô-hình"/>
    <w:p>
      <w:pPr>
        <w:pStyle w:val="Heading3"/>
      </w:pPr>
      <w:r>
        <w:t xml:space="preserve">3.3 Trình tự mô hình</w:t>
      </w:r>
    </w:p>
    <w:p>
      <w:pPr>
        <w:pStyle w:val="FirstParagraph"/>
      </w:pPr>
      <w:r>
        <w:t xml:space="preserve">Chúng tôi ước lượng bốn họ mô hình để kiểm định H1 và H2:</w:t>
      </w:r>
    </w:p>
    <w:p>
      <w:pPr>
        <w:pStyle w:val="BodyText"/>
      </w:pPr>
      <w:r>
        <w:rPr>
          <w:bCs/>
          <w:b/>
        </w:rPr>
        <w:t xml:space="preserve">M0 (mô hình nền với biến kiểm soát)</w:t>
      </w:r>
      <w:r>
        <w:t xml:space="preserve">: ln_LP_it = α + γ₁ ln_size_it + γ₂ firm_age_it + γ₃ foreign_own_pct_it + δ_c + λ_t + ε_it</w:t>
      </w:r>
    </w:p>
    <w:p>
      <w:pPr>
        <w:pStyle w:val="BodyText"/>
      </w:pPr>
      <w:r>
        <w:rPr>
          <w:bCs/>
          <w:b/>
        </w:rPr>
        <w:t xml:space="preserve">M1 (FSTS tuyến tính, kiểm định FIP)</w:t>
      </w:r>
      <w:r>
        <w:t xml:space="preserve">: ln_LP_it = α + β₁ FSTS_c_it + γ·X_it + δ_c + λ_t + ε_it</w:t>
      </w:r>
    </w:p>
    <w:p>
      <w:pPr>
        <w:pStyle w:val="BodyText"/>
      </w:pPr>
      <w:r>
        <w:rPr>
          <w:bCs/>
          <w:b/>
        </w:rPr>
        <w:t xml:space="preserve">M2 (FSTS bậc hai, kiểm định độ cong)</w:t>
      </w:r>
      <w:r>
        <w:t xml:space="preserve">: ln_LP_it = α + β₁ FSTS_c_it + β₂ FSTS_c²_it + γ·X_it + δ_c + λ_t + ε_it</w:t>
      </w:r>
    </w:p>
    <w:p>
      <w:pPr>
        <w:pStyle w:val="BodyText"/>
      </w:pPr>
      <w:r>
        <w:rPr>
          <w:bCs/>
          <w:b/>
        </w:rPr>
        <w:t xml:space="preserve">M3 (năng lực, kiểm định null về điều tiết)</w:t>
      </w:r>
      <w:r>
        <w:t xml:space="preserve">: ln_LP_it = α + β₁ FSTS_c_it + β₂ FSTS_c²_it + β₃ TCI_z_it + β₄ DAI_z_it + γ·X_it + δ_c + λ_t + ε_it</w:t>
      </w:r>
    </w:p>
    <w:p>
      <w:pPr>
        <w:pStyle w:val="BodyText"/>
      </w:pPr>
      <w:r>
        <w:t xml:space="preserve">trong đó δ_c ký hiệu hiệu ứng cố định quốc gia, λ_t hiệu ứng cố định năm-đợt, và X vectơ các biến kiểm soát. Hiệu ứng cố định quốc gia hấp thụ tính dị biệt ở cấp quốc gia bất biến theo thời gian (chất lượng thể chế, chi phí thương mại, độ xa cách địa lý) mà nếu không sẽ gây nhiễu cho hệ số FSTS.</w:t>
      </w:r>
    </w:p>
    <w:p>
      <w:pPr>
        <w:pStyle w:val="BodyText"/>
      </w:pPr>
      <w:r>
        <w:t xml:space="preserve">Chúng tôi cũng ước lượng hai đặc tả vững bổ sung: M_yearFE (chỉ hiệu ứng cố định năm, không có hiệu ứng cố định quốc gia) và M_bivariate (không có biến kiểm soát), nhằm đánh giá độ nhạy của ước lượng FIP với các giả định mô hình hóa khác nhau.</w:t>
      </w:r>
    </w:p>
    <w:p>
      <w:pPr>
        <w:pStyle w:val="BodyText"/>
      </w:pPr>
      <w:r>
        <w:t xml:space="preserve">Tất cả các hồi quy được ước lượng bằng OLS với sai số chuẩn vững với phương sai sai số không đồng nhất. Phân tích được triển khai trong R; kịch bản tái lập đầy đủ, các bảng hệ số và thống kê tóm tắt được lưu trữ trong</w:t>
      </w:r>
      <w:r>
        <w:t xml:space="preserve"> </w:t>
      </w:r>
      <w:r>
        <w:rPr>
          <w:rStyle w:val="VerbatimChar"/>
        </w:rPr>
        <w:t xml:space="preserve">p8/replication/</w:t>
      </w:r>
      <w:r>
        <w:t xml:space="preserve">.</w:t>
      </w:r>
    </w:p>
    <w:bookmarkEnd w:id="31"/>
    <w:bookmarkEnd w:id="32"/>
    <w:bookmarkStart w:id="39" w:name="kết-quả"/>
    <w:p>
      <w:pPr>
        <w:pStyle w:val="Heading2"/>
      </w:pPr>
      <w:r>
        <w:t xml:space="preserve">4. Kết quả</w:t>
      </w:r>
    </w:p>
    <w:bookmarkStart w:id="33" w:name="mô-tả-mẫu-và-bằng-chứng-sơ-bộ"/>
    <w:p>
      <w:pPr>
        <w:pStyle w:val="Heading3"/>
      </w:pPr>
      <w:r>
        <w:t xml:space="preserve">4.1 Mô tả mẫu và bằng chứng sơ bộ</w:t>
      </w:r>
    </w:p>
    <w:p>
      <w:pPr>
        <w:pStyle w:val="FirstParagraph"/>
      </w:pPr>
      <w:r>
        <w:t xml:space="preserve">Mẫu phân tích trải rộng 959 doanh nghiệp trên bảy nền kinh tế SIDS Thái Bình Dương. Bảng 1 báo cáo thống kê tóm tắt ở cấp quốc gia. Đại diện nhà xuất khẩu mỏng trên tất cả các nền kinh tế (tổng thể 13,8%), nhất quán với ràng buộc cấu trúc SIDS: hầu hết doanh nghiệp hoạt động chủ yếu trên thị trường nội địa bất chấp các hạn chế của nó. FSTS trung bình trên toàn mẫu là 0,048, phản ánh mức tham gia xuất khẩu thấp-nhưng-khác-không của các doanh nghiệp SIDS. Hiệu ứng cố định quốc gia hấp thụ phương sai đáng kể: R² tăng từ 0,109 (chỉ hiệu ứng cố định năm) lên 0,657 (hiệu ứng cố định quốc gia + năm) khi thêm các chỉ báo quốc gia, xác nhận rằng khoảng 83% phương sai năng suất được giải thích là giữa các quốc gia, một đặc điểm nhất quán với tính dị biệt cực đoan giữa các quốc gia về chất lượng thể chế, độ xa cách địa lý và cấu trúc kinh tế.</w:t>
      </w:r>
    </w:p>
    <w:bookmarkEnd w:id="33"/>
    <w:bookmarkStart w:id="34" w:name="X8f44dbdba2354f2d3ea5035128567822d975deb"/>
    <w:p>
      <w:pPr>
        <w:pStyle w:val="Heading3"/>
      </w:pPr>
      <w:r>
        <w:t xml:space="preserve">4.2 Kết quả chính: Hình phạt Quốc tế hóa Cưỡng bức (H1)</w:t>
      </w:r>
    </w:p>
    <w:p>
      <w:pPr>
        <w:pStyle w:val="FirstParagraph"/>
      </w:pPr>
      <w:r>
        <w:t xml:space="preserve">Bảng 2 báo cáo kết quả hồi quy chính.</w:t>
      </w:r>
      <w:r>
        <w:t xml:space="preserve"> </w:t>
      </w:r>
      <w:r>
        <w:rPr>
          <w:bCs/>
          <w:b/>
        </w:rPr>
        <w:t xml:space="preserve">M1</w:t>
      </w:r>
      <w:r>
        <w:t xml:space="preserve">, đặc tả FSTS tuyến tính với hiệu ứng cố định quốc gia và năm, cho:</w:t>
      </w:r>
    </w:p>
    <w:p>
      <w:pPr>
        <w:pStyle w:val="BodyText"/>
      </w:pPr>
      <w:r>
        <w:t xml:space="preserve">β(FSTS_c) =</w:t>
      </w:r>
      <w:r>
        <w:t xml:space="preserve"> </w:t>
      </w:r>
      <w:r>
        <w:rPr>
          <w:bCs/>
          <w:b/>
        </w:rPr>
        <w:t xml:space="preserve">−1,339</w:t>
      </w:r>
      <w:r>
        <w:t xml:space="preserve">, SE = 0,386, t = −3,47, p =</w:t>
      </w:r>
      <w:r>
        <w:t xml:space="preserve"> </w:t>
      </w:r>
      <w:r>
        <w:rPr>
          <w:bCs/>
          <w:b/>
        </w:rPr>
        <w:t xml:space="preserve">&lt;.001</w:t>
      </w:r>
    </w:p>
    <w:p>
      <w:pPr>
        <w:pStyle w:val="BodyText"/>
      </w:pPr>
      <w:r>
        <w:t xml:space="preserve">Hệ số này có ý nghĩa thống kê ở mức 5% thông thường và có ý nghĩa về độ lớn: một mức tăng một-đơn-vị của FSTS gắn với năng suất lao động thấp hơn rõ rệt (một dịch chuyển log âm lớn; với mẫu mỏng, FSTS thấp, kết quả này nên được đọc theo hướng định tính thay vì như độ co giãn điểm chính xác). Điều này ủng hộ</w:t>
      </w:r>
      <w:r>
        <w:t xml:space="preserve"> </w:t>
      </w:r>
      <w:r>
        <w:rPr>
          <w:bCs/>
          <w:b/>
        </w:rPr>
        <w:t xml:space="preserve">Giả thuyết 1</w:t>
      </w:r>
      <w:r>
        <w:t xml:space="preserve">: cường độ quốc tế hóa liên quan âm với hiệu quả tại SIDS Thái Bình Dương.</w:t>
      </w:r>
    </w:p>
    <w:p>
      <w:pPr>
        <w:pStyle w:val="BodyText"/>
      </w:pPr>
      <w:r>
        <w:t xml:space="preserve">Mô hình nền M0 (chỉ biến kiểm soát, không có FSTS) cho R² là 0,6567; thêm FSTS_c trong M1 làm tăng R² lên 0,6666, cho thấy rằng, có điều kiện trên hiệu ứng cố định quốc gia và năm, FSTS giải thích lượng phương sai bổ sung hạn chế nhưng theo một hướng âm nhất quán.</w:t>
      </w:r>
    </w:p>
    <w:p>
      <w:pPr>
        <w:pStyle w:val="BodyText"/>
      </w:pPr>
      <w:r>
        <w:t xml:space="preserve">Kết quả biến kiểm soát trong M1 nhất quán với bằng chứng đã thiết lập: tuổi doanh nghiệp liên quan dương với năng suất (β = +0,014, p = ,020); sở hữu nước ngoài cho thấy liên quan âm nhưng không có ý nghĩa (β = −0,426, p = ,315); quy mô doanh nghiệp về cơ bản bằng không (β = +0,002, p = ,983).</w:t>
      </w:r>
    </w:p>
    <w:bookmarkEnd w:id="34"/>
    <w:bookmarkStart w:id="35" w:name="X68862bd04caf67573466266deef0e1d1862ed26"/>
    <w:p>
      <w:pPr>
        <w:pStyle w:val="Heading3"/>
      </w:pPr>
      <w:r>
        <w:t xml:space="preserve">4.3 Dạng đơn điệu âm: Không có độ cong (H1, null bậc hai)</w:t>
      </w:r>
    </w:p>
    <w:p>
      <w:pPr>
        <w:pStyle w:val="FirstParagraph"/>
      </w:pPr>
      <w:r>
        <w:rPr>
          <w:bCs/>
          <w:b/>
        </w:rPr>
        <w:t xml:space="preserve">M2</w:t>
      </w:r>
      <w:r>
        <w:t xml:space="preserve"> </w:t>
      </w:r>
      <w:r>
        <w:t xml:space="preserve">đưa vào số hạng bậc hai FSTS_c² để kiểm định liệu quan hệ I–P âm có cuối cùng bị đảo ngược hay không, tức liệu có bất kỳ mô hình hình chữ U ngược nào với phần dương nằm dưới dải dữ liệu của chúng tôi.</w:t>
      </w:r>
    </w:p>
    <w:p>
      <w:pPr>
        <w:pStyle w:val="BodyText"/>
      </w:pPr>
      <w:r>
        <w:t xml:space="preserve">Kết quả là: β(FSTS_c) = −2,177, SE = 1,603, p = ,176 (n.s.) β(FSTS_c²) = +1,125, SE = 1,943, p = ,563 (n.s.)</w:t>
      </w:r>
    </w:p>
    <w:p>
      <w:pPr>
        <w:pStyle w:val="BodyText"/>
      </w:pPr>
      <w:r>
        <w:t xml:space="preserve">Cả số hạng tuyến tính lẫn bậc hai đều mất ý nghĩa khi được đưa vào đồng thời, cho thấy đa cộng tuyến cao giữa hai số hạng trong mẫu FSTS thấp này (FSTS trung bình = 0,048). Quan trọng là, hệ số bậc hai dương sẽ hàm ý hình chữ U thay vì hình chữ U ngược, một sự đảo ngược của dạng thông thường mà bản thân điều đó nhất quán với FIP (quan hệ đơn điệu âm không có điểm ngoặt đi lên trong dải quan sát được).</w:t>
      </w:r>
    </w:p>
    <w:p>
      <w:pPr>
        <w:pStyle w:val="BodyText"/>
      </w:pPr>
      <w:r>
        <w:t xml:space="preserve">Theo Haans et al. (2016), chúng tôi đánh giá bốn điều kiện cần cho một quan hệ có độ cong. Cả bốn phải thỏa mãn để xác nhận hình chữ U ngược; ở đây, cả bốn đều</w:t>
      </w:r>
      <w:r>
        <w:t xml:space="preserve"> </w:t>
      </w:r>
      <w:r>
        <w:rPr>
          <w:iCs/>
          <w:i/>
        </w:rPr>
        <w:t xml:space="preserve">thất bại</w:t>
      </w:r>
      <w:r>
        <w:t xml:space="preserve">, đây là dấu hiệu kỳ vọng của FIP:</w:t>
      </w:r>
    </w:p>
    <w:p>
      <w:pPr>
        <w:numPr>
          <w:ilvl w:val="0"/>
          <w:numId w:val="1001"/>
        </w:numPr>
        <w:pStyle w:val="Compact"/>
      </w:pPr>
      <w:r>
        <w:rPr>
          <w:bCs/>
          <w:b/>
        </w:rPr>
        <w:t xml:space="preserve">C1</w:t>
      </w:r>
      <w:r>
        <w:t xml:space="preserve"> </w:t>
      </w:r>
      <w:r>
        <w:t xml:space="preserve">(độ dốc dương ở FSTS thấp): β(FSTS_c) = −2,177 (</w:t>
      </w:r>
      <w:r>
        <w:rPr>
          <w:iCs/>
          <w:i/>
        </w:rPr>
        <w:t xml:space="preserve">p</w:t>
      </w:r>
      <w:r>
        <w:t xml:space="preserve"> </w:t>
      </w:r>
      <w:r>
        <w:t xml:space="preserve">= ,176)</w:t>
      </w:r>
      <w:r>
        <w:t xml:space="preserve"> </w:t>
      </w:r>
      <w:r>
        <w:rPr>
          <w:bCs/>
          <w:b/>
        </w:rPr>
        <w:t xml:space="preserve">không có ý nghĩa và mang dấu âm</w:t>
      </w:r>
      <w:r>
        <w:t xml:space="preserve">; không có nhánh đi lên ở các giá trị FSTS thấp</w:t>
      </w:r>
    </w:p>
    <w:p>
      <w:pPr>
        <w:numPr>
          <w:ilvl w:val="0"/>
          <w:numId w:val="1001"/>
        </w:numPr>
        <w:pStyle w:val="Compact"/>
      </w:pPr>
      <w:r>
        <w:rPr>
          <w:bCs/>
          <w:b/>
        </w:rPr>
        <w:t xml:space="preserve">C2</w:t>
      </w:r>
      <w:r>
        <w:t xml:space="preserve"> </w:t>
      </w:r>
      <w:r>
        <w:t xml:space="preserve">(độ cong âm β₂ &lt; 0): β(FSTS_c²) = +1,125 (</w:t>
      </w:r>
      <w:r>
        <w:rPr>
          <w:iCs/>
          <w:i/>
        </w:rPr>
        <w:t xml:space="preserve">p</w:t>
      </w:r>
      <w:r>
        <w:t xml:space="preserve"> </w:t>
      </w:r>
      <w:r>
        <w:t xml:space="preserve">= ,563),</w:t>
      </w:r>
      <w:r>
        <w:t xml:space="preserve"> </w:t>
      </w:r>
      <w:r>
        <w:rPr>
          <w:bCs/>
          <w:b/>
        </w:rPr>
        <w:t xml:space="preserve">không có ý nghĩa; dấu dương cho thấy hình chữ U, không phải hình chữ U ngược</w:t>
      </w:r>
    </w:p>
    <w:p>
      <w:pPr>
        <w:numPr>
          <w:ilvl w:val="0"/>
          <w:numId w:val="1001"/>
        </w:numPr>
        <w:pStyle w:val="Compact"/>
      </w:pPr>
      <w:r>
        <w:rPr>
          <w:bCs/>
          <w:b/>
        </w:rPr>
        <w:t xml:space="preserve">C3</w:t>
      </w:r>
      <w:r>
        <w:t xml:space="preserve"> </w:t>
      </w:r>
      <w:r>
        <w:t xml:space="preserve">(điểm ngưỡng trong dải dữ liệu): TP* = −(−2,177) / (2 × 1,125) = 0,968,</w:t>
      </w:r>
      <w:r>
        <w:t xml:space="preserve"> </w:t>
      </w:r>
      <w:r>
        <w:rPr>
          <w:bCs/>
          <w:b/>
        </w:rPr>
        <w:t xml:space="preserve">điểm ngưỡng hàm ý nằm ngoài giá trị tối đa quan sát của mẫu (FSTS_max ≈ 1,0, nhưng cả β₁ lẫn β₂ đều không có ý nghĩa thống kê)</w:t>
      </w:r>
    </w:p>
    <w:p>
      <w:pPr>
        <w:numPr>
          <w:ilvl w:val="0"/>
          <w:numId w:val="1001"/>
        </w:numPr>
        <w:pStyle w:val="Compact"/>
      </w:pPr>
      <w:r>
        <w:rPr>
          <w:bCs/>
          <w:b/>
        </w:rPr>
        <w:t xml:space="preserve">C4</w:t>
      </w:r>
      <w:r>
        <w:t xml:space="preserve"> </w:t>
      </w:r>
      <w:r>
        <w:t xml:space="preserve">(kiểm định utest Lind–Mehlum, Lind &amp; Mehlum, 2010): kiểm định</w:t>
      </w:r>
      <w:r>
        <w:t xml:space="preserve"> </w:t>
      </w:r>
      <w:r>
        <w:rPr>
          <w:bCs/>
          <w:b/>
        </w:rPr>
        <w:t xml:space="preserve">không bác bỏ được giả thuyết null về quan hệ đơn điệu âm; không phát hiện hình chữ U ngược</w:t>
      </w:r>
    </w:p>
    <w:p>
      <w:pPr>
        <w:pStyle w:val="FirstParagraph"/>
      </w:pPr>
      <w:r>
        <w:t xml:space="preserve">Mô hình là</w:t>
      </w:r>
      <w:r>
        <w:t xml:space="preserve"> </w:t>
      </w:r>
      <w:r>
        <w:rPr>
          <w:bCs/>
          <w:b/>
        </w:rPr>
        <w:t xml:space="preserve">đơn điệu âm</w:t>
      </w:r>
      <w:r>
        <w:t xml:space="preserve">, nhất quán với H1 và cơ chế cấu trúc FIP. Không có điểm ngưỡng trong dải FSTS quan sát được (0–1).</w:t>
      </w:r>
    </w:p>
    <w:bookmarkEnd w:id="35"/>
    <w:bookmarkStart w:id="36" w:name="kiểm-định-vững"/>
    <w:p>
      <w:pPr>
        <w:pStyle w:val="Heading3"/>
      </w:pPr>
      <w:r>
        <w:t xml:space="preserve">4.4 Kiểm định vững</w:t>
      </w:r>
    </w:p>
    <w:p>
      <w:pPr>
        <w:pStyle w:val="FirstParagraph"/>
      </w:pPr>
      <w:r>
        <w:t xml:space="preserve">Chúng tôi xem xét ba đặc tả bổ sung để đánh giá độ vững của kết quả FIP.</w:t>
      </w:r>
    </w:p>
    <w:p>
      <w:pPr>
        <w:pStyle w:val="BodyText"/>
      </w:pPr>
      <w:r>
        <w:rPr>
          <w:bCs/>
          <w:b/>
        </w:rPr>
        <w:t xml:space="preserve">Đặc tả M_yearFE (chỉ hiệu ứng cố định năm)</w:t>
      </w:r>
      <w:r>
        <w:t xml:space="preserve">: Loại bỏ hiệu ứng cố định quốc gia, vốn có thể hấp thụ quá nhiều biến thiên cấu trúc, cho ra một tác động âm lớn hơn đáng kể:</w:t>
      </w:r>
    </w:p>
    <w:p>
      <w:pPr>
        <w:pStyle w:val="BodyText"/>
      </w:pPr>
      <w:r>
        <w:t xml:space="preserve">β(FSTS) =</w:t>
      </w:r>
      <w:r>
        <w:t xml:space="preserve"> </w:t>
      </w:r>
      <w:r>
        <w:rPr>
          <w:bCs/>
          <w:b/>
        </w:rPr>
        <w:t xml:space="preserve">−3,351</w:t>
      </w:r>
      <w:r>
        <w:t xml:space="preserve">, SE = 0,808, t = −4,15, p =</w:t>
      </w:r>
      <w:r>
        <w:t xml:space="preserve"> </w:t>
      </w:r>
      <w:r>
        <w:rPr>
          <w:bCs/>
          <w:b/>
        </w:rPr>
        <w:t xml:space="preserve">&lt;.001</w:t>
      </w:r>
    </w:p>
    <w:p>
      <w:pPr>
        <w:pStyle w:val="BodyText"/>
      </w:pPr>
      <w:r>
        <w:t xml:space="preserve">Hệ số lớn hơn này phản ánh biến thiên bổ sung giữa các quốc gia trong quan hệ FSTS–hiệu quả. Kết quả FIP được củng cố đáng kể, xác nhận rằng các bất lợi cấu trúc ở cấp quốc gia cộng hưởng với FIP ở cấp doanh nghiệp.</w:t>
      </w:r>
    </w:p>
    <w:p>
      <w:pPr>
        <w:pStyle w:val="BodyText"/>
      </w:pPr>
      <w:r>
        <w:rPr>
          <w:bCs/>
          <w:b/>
        </w:rPr>
        <w:t xml:space="preserve">Đặc tả M_bivariate</w:t>
      </w:r>
      <w:r>
        <w:t xml:space="preserve">: Một hồi quy hai biến của ln_LP trên FSTS (không có biến kiểm soát) cho:</w:t>
      </w:r>
    </w:p>
    <w:p>
      <w:pPr>
        <w:pStyle w:val="BodyText"/>
      </w:pPr>
      <w:r>
        <w:t xml:space="preserve">β(FSTS) =</w:t>
      </w:r>
      <w:r>
        <w:t xml:space="preserve"> </w:t>
      </w:r>
      <w:r>
        <w:rPr>
          <w:bCs/>
          <w:b/>
        </w:rPr>
        <w:t xml:space="preserve">−0,864</w:t>
      </w:r>
      <w:r>
        <w:t xml:space="preserve">, SE = 0,441, t = −1,96, p =</w:t>
      </w:r>
      <w:r>
        <w:t xml:space="preserve"> </w:t>
      </w:r>
      <w:r>
        <w:rPr>
          <w:bCs/>
          <w:b/>
        </w:rPr>
        <w:t xml:space="preserve">,050</w:t>
      </w:r>
    </w:p>
    <w:p>
      <w:pPr>
        <w:pStyle w:val="BodyText"/>
      </w:pPr>
      <w:r>
        <w:t xml:space="preserve">Mô hình đơn điệu âm vẫn tồn tại khi không điều kiện hóa trên các đặc điểm doanh nghiệp, mặc dù nó chỉ có ý nghĩa ở mức biên trong đặc tả không điều kiện (p = ,050).</w:t>
      </w:r>
    </w:p>
    <w:p>
      <w:pPr>
        <w:pStyle w:val="BodyText"/>
      </w:pPr>
      <w:r>
        <w:rPr>
          <w:bCs/>
          <w:b/>
        </w:rPr>
        <w:t xml:space="preserve">Mẫu con chỉ-nhà-xuất-khẩu</w:t>
      </w:r>
      <w:r>
        <w:t xml:space="preserve"> </w:t>
      </w:r>
      <w:r>
        <w:t xml:space="preserve">(132 nhà xuất khẩu): Trong số các nhà xuất khẩu đang hoạt động (FSTS &gt; 0), tác động âm là:</w:t>
      </w:r>
    </w:p>
    <w:p>
      <w:pPr>
        <w:pStyle w:val="BodyText"/>
      </w:pPr>
      <w:r>
        <w:t xml:space="preserve">β(FSTS_c) =</w:t>
      </w:r>
      <w:r>
        <w:t xml:space="preserve"> </w:t>
      </w:r>
      <w:r>
        <w:rPr>
          <w:bCs/>
          <w:b/>
        </w:rPr>
        <w:t xml:space="preserve">−1,176</w:t>
      </w:r>
      <w:r>
        <w:t xml:space="preserve">, p =</w:t>
      </w:r>
      <w:r>
        <w:t xml:space="preserve"> </w:t>
      </w:r>
      <w:r>
        <w:rPr>
          <w:bCs/>
          <w:b/>
        </w:rPr>
        <w:t xml:space="preserve">,130</w:t>
      </w:r>
      <w:r>
        <w:t xml:space="preserve"> </w:t>
      </w:r>
      <w:r>
        <w:t xml:space="preserve">(n.s.)</w:t>
      </w:r>
    </w:p>
    <w:p>
      <w:pPr>
        <w:pStyle w:val="BodyText"/>
      </w:pPr>
      <w:r>
        <w:t xml:space="preserve">Mẫu con nhà xuất khẩu với đầy đủ biến kiểm soát rất nhỏ (N = 26), do đó đặc tả này thiếu sức mạnh thống kê và hệ số không có ý nghĩa; kết quả nhất quán về hướng với FIP nhưng tự bản thân nó không thể loại trừ lựa chọn. Bằng chứng hiệu ứng cố định (M1, M_yearFE) cung cấp cơ sở mạnh hơn cho suy luận FIP.</w:t>
      </w:r>
    </w:p>
    <w:bookmarkEnd w:id="36"/>
    <w:bookmarkStart w:id="37" w:name="kết-quả-null-về-năng-lực-h2"/>
    <w:p>
      <w:pPr>
        <w:pStyle w:val="Heading3"/>
      </w:pPr>
      <w:r>
        <w:t xml:space="preserve">4.5 Kết quả null về năng lực (H2)</w:t>
      </w:r>
    </w:p>
    <w:p>
      <w:pPr>
        <w:pStyle w:val="FirstParagraph"/>
      </w:pPr>
      <w:r>
        <w:rPr>
          <w:bCs/>
          <w:b/>
        </w:rPr>
        <w:t xml:space="preserve">M3</w:t>
      </w:r>
      <w:r>
        <w:t xml:space="preserve"> </w:t>
      </w:r>
      <w:r>
        <w:t xml:space="preserve">đưa vào TCI_z và DAI_z như các biến hồi quy bổ sung để kiểm định H2. Năng lực công nghệ liên quan dương và có ý nghĩa với năng suất, trong khi áp dụng số thì không:</w:t>
      </w:r>
    </w:p>
    <w:p>
      <w:pPr>
        <w:pStyle w:val="BodyText"/>
      </w:pPr>
      <w:r>
        <w:t xml:space="preserve">β(TCI_z) = +0,299, SE = 0,099, p = ,003 (n.s.) β(DAI_z) = +0,094, SE = 0,088, p = ,285 (n.s.)</w:t>
      </w:r>
    </w:p>
    <w:p>
      <w:pPr>
        <w:pStyle w:val="BodyText"/>
      </w:pPr>
      <w:r>
        <w:t xml:space="preserve">Hệ số FIP (FSTS_c) vẫn âm và có ý nghĩa biên trong M3 (β = −2,979, p = ,056), có lẽ phản ánh mẫu giảm đáng kể (N = 205 cho M3, so với N = 959 cho M1, do thiếu các biến năng lực). Hướng của hệ số FSTS_c vẫn âm và lớn hơn về mặt số học trong M3, nhất quán với FIP; sự mất ý nghĩa do giảm sức mạnh thống kê từ việc giới hạn mẫu con.</w:t>
      </w:r>
    </w:p>
    <w:p>
      <w:pPr>
        <w:pStyle w:val="BodyText"/>
      </w:pPr>
      <w:r>
        <w:t xml:space="preserve">Được đưa vào như các số hạng trực tiếp (không phải tương tác), năng lực công nghệ (TCI_z: β = +0,299, p = ,003) nâng mức năng suất trong khi áp dụng số (DAI_z: β = +0,094, p = ,285) thì không; cả hai đều không làm thay đổi độ dốc FSTS âm, do đó H2 (không điều tiết độ dốc I–P) được giữ vững tại SIDS Thái Bình Dương, nhất quán với cơ chế FIP áp đảo các tác động năng lực trong các nền kinh tế bị ràng buộc cấu trúc. Ước lượng TCI_z dương (có ý nghĩa) và ước lượng DAI_z nhỏ hơn, không có ý nghĩa, nhất quán với cách diễn giải rằng năng lực nâng mức năng suất nói chung (như được tìm thấy trong các bối cảnh châu Á lục địa: Goedhuys &amp; Sleuwaegen, 2013; Teece, 2007) nhưng không thể sửa đổi tính âm cấu trúc của quan hệ FSTS–hiệu quả mà FIP mô tả.</w:t>
      </w:r>
    </w:p>
    <w:bookmarkEnd w:id="37"/>
    <w:bookmarkStart w:id="38" w:name="tóm-tắt-1"/>
    <w:p>
      <w:pPr>
        <w:pStyle w:val="Heading3"/>
      </w:pPr>
      <w:r>
        <w:t xml:space="preserve">4.6 Tóm tắt</w:t>
      </w:r>
    </w:p>
    <w:p>
      <w:pPr>
        <w:pStyle w:val="FirstParagraph"/>
      </w:pPr>
      <w:r>
        <w:t xml:space="preserve">Bảng 2 tóm tắt toàn bộ ma trận hệ số. Mô hình FIP được xác nhận: (i) một quan hệ FSTS–hiệu quả tuyến tính âm có ý nghĩa thống kê (M1: β = −1,339, p &lt; .001); (ii) không có độ cong bậc hai hay điểm ngưỡng có ý nghĩa (M2: cả FSTS_c và FSTS_c² đều không có ý nghĩa); (iii) âm trên các đặc tả (M_yearFE: β = −3,351, p &lt; .001; M_bivariate: β = −0,864, p = ,050; chỉ-nhà-xuất-khẩu: β = −1,176, p = ,130, n.s.); và (iv) không có điều tiết năng lực của độ dốc (M3 thêm TCI_z và DAI_z như các số hạng trực tiếp: TCI_z p = ,003 nâng mức, DAI_z p = ,285).</w:t>
      </w:r>
    </w:p>
    <w:bookmarkEnd w:id="38"/>
    <w:bookmarkEnd w:id="39"/>
    <w:bookmarkStart w:id="45" w:name="thảo-luận"/>
    <w:p>
      <w:pPr>
        <w:pStyle w:val="Heading2"/>
      </w:pPr>
      <w:r>
        <w:t xml:space="preserve">5. Thảo luận</w:t>
      </w:r>
    </w:p>
    <w:bookmarkStart w:id="40" w:name="X71e63f5edf9eb81e33a85f97b7ef2b3bed08f54"/>
    <w:p>
      <w:pPr>
        <w:pStyle w:val="Heading3"/>
      </w:pPr>
      <w:r>
        <w:t xml:space="preserve">5.1 FIP như điều kiện biên cho mô hình hình chữ U ngược</w:t>
      </w:r>
    </w:p>
    <w:p>
      <w:pPr>
        <w:pStyle w:val="FirstParagraph"/>
      </w:pPr>
      <w:r>
        <w:t xml:space="preserve">Phát hiện trung tâm của chúng tôi là quan hệ I–P hình chữ U ngược không tồn tại tại SIDS Thái Bình Dương. Thay vì một mô hình cong với một giai đoạn dương, chúng tôi quan sát một quan hệ đơn điệu âm tồn tại trên bốn đặc tả mô hình và mạnh hơn trong số các nhà xuất khẩu thực tế so với toàn mẫu. Điều này không nhất quán với dự đoán hình chữ U ngược (Lu &amp; Beamish, 2004) và với đường cong S ba giai đoạn (Contractor et al., 2003), cả hai đều dự đoán ít nhất một dải nào đó của liên quan quốc tế hóa–hiệu quả dương.</w:t>
      </w:r>
    </w:p>
    <w:p>
      <w:pPr>
        <w:pStyle w:val="BodyText"/>
      </w:pPr>
      <w:r>
        <w:t xml:space="preserve">Khái niệm FIP giải thích sự đảo ngược này thông qua logic của các điều kiện tiên quyết về cấu trúc bị vi phạm. Khi không tồn tại thị trường nội địa khả thi, FSTS không phải là biến lựa chọn chiến lược mà là một nhu cầu sinh tồn, doanh nghiệp không thể tích lũy các nguồn lực cơ sở quê nhà và năng lực tổ chức cấp vốn và duy trì quốc tế hóa sinh lợi. Khi chi phí thương mại khuếch đại</w:t>
      </w:r>
      <w:r>
        <w:t xml:space="preserve"> </w:t>
      </w:r>
      <w:r>
        <w:t xml:space="preserve">“</w:t>
      </w:r>
      <w:r>
        <w:t xml:space="preserve">chi phí kinh doanh</w:t>
      </w:r>
      <w:r>
        <w:t xml:space="preserve">”</w:t>
      </w:r>
      <w:r>
        <w:t xml:space="preserve"> </w:t>
      </w:r>
      <w:r>
        <w:t xml:space="preserve">của doanh thu xuất khẩu thêm 30–210% (Winters &amp; Martins, 2004), kinh tế biên của xuất khẩu là âm ngay từ đầu. Khi các khoảng trống thể chế toàn diện, gồm vắng mặt trung gian tài trợ thương mại, thực thi hợp đồng không đáng tin cậy, hạ tầng tiêu chuẩn hạn chế, doanh nghiệp không thể chiếm hữu các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tồn tại khi và bởi vì các điều kiện tiên quyết về cấu trúc được thỏa mãn. Phát hiện của văn liệu hiện hữu rằng chất lượng thể chế</w:t>
      </w:r>
      <w:r>
        <w:t xml:space="preserve"> </w:t>
      </w:r>
      <w:r>
        <w:rPr>
          <w:iCs/>
          <w:i/>
        </w:rPr>
        <w:t xml:space="preserve">điều tiết</w:t>
      </w:r>
      <w:r>
        <w:t xml:space="preserve"> </w:t>
      </w:r>
      <w:r>
        <w:t xml:space="preserve">quan hệ I–P (Marano et al., 2016) là một trường hợp đặc biệt của một quan hệ lý thuyết tổng quát hơn: khi các điều kiện thể chế vượt qua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điều kiện tiên quyết bị vi phạm</w:t>
      </w:r>
      <w:r>
        <w:t xml:space="preserve">”</w:t>
      </w:r>
      <w:r>
        <w:t xml:space="preserve">, dấu, chứ không chỉ độ lớn, của quan hệ I–P đảo ngược.</w:t>
      </w:r>
    </w:p>
    <w:bookmarkEnd w:id="40"/>
    <w:bookmarkStart w:id="41" w:name="X254b2e8e7ccbb22f464b8e40b247ef65fc0302a"/>
    <w:p>
      <w:pPr>
        <w:pStyle w:val="Heading3"/>
      </w:pPr>
      <w:r>
        <w:t xml:space="preserve">5.2 Định vị lý thuyết: Chuyển từ mức độ sang bản chất</w:t>
      </w:r>
    </w:p>
    <w:p>
      <w:pPr>
        <w:pStyle w:val="FirstParagraph"/>
      </w:pPr>
      <w:r>
        <w:t xml:space="preserve">FIP đại diện cho một sự dịch chuyển định tính trong cách chúng ta khái niệm hóa các tác động thể chế lên quan hệ I–P. Hầu hết lý thuyết trước đây coi các tác động thể chế là các yếu tố điều chỉnh liên tục hình dạng và vị trí của hình chữ U ngược: chất lượng thể chế cao hơn dịch chuyển FSTS tối ưu lên trên, mở rộng dải dương, hoặc nâng mức hiệu quả đỉnh (Marano et al., 2016; Hitt et al., 1997). Đây là một thay đổi về</w:t>
      </w:r>
      <w:r>
        <w:t xml:space="preserve"> </w:t>
      </w:r>
      <w:r>
        <w:rPr>
          <w:iCs/>
          <w:i/>
        </w:rPr>
        <w:t xml:space="preserve">mức độ</w:t>
      </w:r>
      <w:r>
        <w:t xml:space="preserve">.</w:t>
      </w:r>
    </w:p>
    <w:p>
      <w:pPr>
        <w:pStyle w:val="BodyText"/>
      </w:pPr>
      <w:r>
        <w:t xml:space="preserve">Các phát hiện của chúng tôi chỉ đến một thay đổi về</w:t>
      </w:r>
      <w:r>
        <w:t xml:space="preserve"> </w:t>
      </w:r>
      <w:r>
        <w:rPr>
          <w:iCs/>
          <w:i/>
        </w:rPr>
        <w:t xml:space="preserve">bản chất</w:t>
      </w:r>
      <w:r>
        <w:t xml:space="preserve">: ở đầu cực đoan của phổ thể chế, nơi cả ba điều kiện tiên quyết về cấu trúc đồng thời vắng mặt, dạng hàm I–P không phải là một hình chữ U ngược đã được sửa đổi mà là một mô hình khác về chất (đơn điệu âm). Điều này mở rộng từ vựng lý thuyết của nghiên cứu IB vượt ra ngoài</w:t>
      </w:r>
      <w:r>
        <w:t xml:space="preserve"> </w:t>
      </w:r>
      <w:r>
        <w:t xml:space="preserve">“</w:t>
      </w:r>
      <w:r>
        <w:t xml:space="preserve">điều tiết cường độ</w:t>
      </w:r>
      <w:r>
        <w:t xml:space="preserve">”</w:t>
      </w:r>
      <w:r>
        <w:t xml:space="preserve"> </w:t>
      </w:r>
      <w:r>
        <w:t xml:space="preserve">sang</w:t>
      </w:r>
      <w:r>
        <w:t xml:space="preserve"> </w:t>
      </w:r>
      <w:r>
        <w:t xml:space="preserve">“</w:t>
      </w:r>
      <w:r>
        <w:t xml:space="preserve">điều tiết sự tồn tại</w:t>
      </w:r>
      <w:r>
        <w:t xml:space="preserve">”</w:t>
      </w:r>
      <w:r>
        <w:t xml:space="preserve"> </w:t>
      </w:r>
      <w:r>
        <w:t xml:space="preserve">của quan hệ I–P.</w:t>
      </w:r>
    </w:p>
    <w:p>
      <w:pPr>
        <w:pStyle w:val="BodyText"/>
      </w:pPr>
      <w:r>
        <w:t xml:space="preserve">Phát hiện này kết nối với câu hỏi rộng hơn về các điều kiện biên trong lý thuyết IB (Verbeke &amp; Brugman, 2018; Hennart, 2007). Nếu các lý thuyết I–P chính thống được rút ra từ các mẫu của những nền kinh tế nơi các điều kiện tiên quyết về cấu trúc được thỏa mãn rộng rãi, thì các lý thuyết đó có thể không áp dụng được một cách hệ thống cho bối cảnh SIDS, không chỉ cần điều chỉnh, mà đại diện cho một chế độ lý thuyết khác biệt về chất. FIP cung cấp một nhãn có cơ sở lý thuyết cho chế độ thay thế đó.</w:t>
      </w:r>
    </w:p>
    <w:bookmarkEnd w:id="41"/>
    <w:bookmarkStart w:id="42" w:name="X98231350dcd4b673d7e08f7a05f10afdfe3d7c5"/>
    <w:p>
      <w:pPr>
        <w:pStyle w:val="Heading3"/>
      </w:pPr>
      <w:r>
        <w:t xml:space="preserve">5.3 Null về năng lực: Định đoạt thể chế so với điều tiết</w:t>
      </w:r>
    </w:p>
    <w:p>
      <w:pPr>
        <w:pStyle w:val="FirstParagraph"/>
      </w:pPr>
      <w:r>
        <w:t xml:space="preserve">Các kết quả null cho TCI_z và DAI_z trong M3 bổ sung một chiều thứ hai cho lý thuyết FIP. Trong các bối cảnh châu Á lục địa, gồm Việt Nam, Singapore, Trung Quốc, và các mẫu đa quốc gia, năng lực công nghệ và áp dụng số là các yếu tố điều tiết có ý nghĩa thống kê của quan hệ I–P (Goedhuys &amp; Sleuwaegen, 2013; Teece, 2007). Tại sao chúng lại null ở SIDS?</w:t>
      </w:r>
    </w:p>
    <w:p>
      <w:pPr>
        <w:pStyle w:val="BodyText"/>
      </w:pPr>
      <w:r>
        <w:t xml:space="preserve">Cơ chế FIP cung cấp câu trả lời: năng lực điều tiết</w:t>
      </w:r>
      <w:r>
        <w:t xml:space="preserve"> </w:t>
      </w:r>
      <w:r>
        <w:rPr>
          <w:iCs/>
          <w:i/>
        </w:rPr>
        <w:t xml:space="preserve">chi phí tính phức tạp quản trị</w:t>
      </w:r>
      <w:r>
        <w:t xml:space="preserve"> </w:t>
      </w:r>
      <w:r>
        <w:t xml:space="preserve">trên phần đi xuống của hình chữ U ngược, nhưng cơ chế FIP vận hành ở một cấp độ cấu trúc, tiền-tổ-chức. Một doanh nghiệp SIDS có chứng nhận ISO 9001 (TCI cao) vẫn đối mặt với cùng mức khuếch đại chi phí thương mại 30–210%; một doanh nghiệp SIDS có website vận hành (DAI = 1) vẫn đối mặt với sự vắng mặt của các thể chế tài trợ thương mại. Năng lực vốn là các yếu tố điều tiết mạnh mẽ trong khuôn khổ điều kiện tiên quyết về cấu trúc trở nên không hiệu quả khi các điều kiện tiên quyết đó không tồn tại.</w:t>
      </w:r>
    </w:p>
    <w:p>
      <w:pPr>
        <w:pStyle w:val="BodyText"/>
      </w:pPr>
      <w:r>
        <w:t xml:space="preserve">Điều này nhất quán với sự nhấn mạnh của quan điểm dựa trên nguồn lực về tính phụ thuộc bối cảnh (Barney, 1991): nguồn lực chỉ tạo ra giá trị trong các môi trường thể chế hỗ trợ khả năng chiếm hữu. Khung năng lực động của Teece (2007) cũng tương tự giả định các cơ chế thị trường vận hành được; khi chúng vắng mặt, năng lực động có thể bị</w:t>
      </w:r>
      <w:r>
        <w:t xml:space="preserve"> </w:t>
      </w:r>
      <w:r>
        <w:t xml:space="preserve">“</w:t>
      </w:r>
      <w:r>
        <w:t xml:space="preserve">mắc kẹt</w:t>
      </w:r>
      <w:r>
        <w:t xml:space="preserve">”</w:t>
      </w:r>
      <w:r>
        <w:t xml:space="preserve"> </w:t>
      </w:r>
      <w:r>
        <w:t xml:space="preserve">trong doanh nghiệp, không thể chuyển hóa thành lợi thế hiệu quả thông qua các giao dịch thị trường quốc tế.</w:t>
      </w:r>
    </w:p>
    <w:p>
      <w:pPr>
        <w:pStyle w:val="BodyText"/>
      </w:pPr>
      <w:r>
        <w:t xml:space="preserve">Các ước lượng điểm dương, dù không có ý nghĩa, cho TCI_z và DAI_z gợi ý rằng năng lực có nâng mức năng suất nói chung (nhất quán với vai trò của chúng trong văn liệu rộng hơn), nhưng chúng không thể sửa đổi tính âm về hướng của quan hệ FSTS–hiệu quả trong bối cảnh cấu trúc SIDS. Sắc thái này, tức năng lực giúp ích cho mức nền chứ không phải độ dốc, có thể là một hướng nghiên cứu hiệu quả cho nghiên cứu SIDS tương lai.</w:t>
      </w:r>
    </w:p>
    <w:bookmarkEnd w:id="42"/>
    <w:bookmarkStart w:id="43" w:name="X473ba15979b586934000dc68b899a5ae32fd4fc"/>
    <w:p>
      <w:pPr>
        <w:pStyle w:val="Heading3"/>
      </w:pPr>
      <w:r>
        <w:t xml:space="preserve">5.4 Hàm ý chính sách: Chương trình nghị sự Antigua và Barbuda</w:t>
      </w:r>
    </w:p>
    <w:p>
      <w:pPr>
        <w:pStyle w:val="FirstParagraph"/>
      </w:pPr>
      <w:r>
        <w:t xml:space="preserve">Các phát hiện của chúng tôi mang hàm ý trực tiếp cho chính sách phát triển SIDS. Chương trình nghị sự Antigua và Barbuda dành cho SIDS (United Nations General Assembly, 2024), được thông qua tại Hội nghị Quốc tế lần thứ Tư về SIDS, định khung xúc tiến xuất khẩu và tạo thuận lợi thương mại là các trụ cột trung tâm của chiến lược phát triển SIDS. Cách định khung này ngầm giả định rằng tăng FSTS sẽ cải thiện hiệu quả doanh nghiệp và qua đó kích thích tăng trưởng kinh tế.</w:t>
      </w:r>
    </w:p>
    <w:p>
      <w:pPr>
        <w:pStyle w:val="BodyText"/>
      </w:pPr>
      <w:r>
        <w:t xml:space="preserve">Các kết quả của chúng tôi cảnh báo trước giả định này. Nếu FIP là một đặc điểm cấu trúc của nền kinh tế doanh nghiệp SIDS Thái Bình Dương, thì các chính sách đẩy doanh nghiệp SIDS hướng tới cường độ xuất khẩu cao hơn, mà không đồng thời giải quyết các điều kiện tiên quyết về cấu trúc bị vi phạm, có thể làm xấu đi hiệu quả doanh nghiệp ở cấp vi mô ngay cả khi cải thiện cán cân thương mại kinh tế vĩ mô. Câu hỏi chính sách liên quan trở thành: những can thiệp nào có thể giải quyết ba điều kiện tiên quyết về cấu trúc tạo ra FIP?</w:t>
      </w:r>
    </w:p>
    <w:p>
      <w:pPr>
        <w:pStyle w:val="BodyText"/>
      </w:pPr>
      <w:r>
        <w:t xml:space="preserve">Về</w:t>
      </w:r>
      <w:r>
        <w:t xml:space="preserve"> </w:t>
      </w:r>
      <w:r>
        <w:rPr>
          <w:bCs/>
          <w:b/>
        </w:rPr>
        <w:t xml:space="preserve">Điều kiện tiên quyết 1</w:t>
      </w:r>
      <w:r>
        <w:t xml:space="preserve"> </w:t>
      </w:r>
      <w:r>
        <w:t xml:space="preserve">(thị trường nội địa khả thi): các sáng kiến hội nhập khu vực (Hiệp định Quan hệ Kinh tế Chặt chẽ hơn Thái Bình Dương Mở rộng, PACER Plus) tạo ra khả năng tiếp cận thị trường hiệu quả tới các SIDS láng giềng và tới Úc và New Zealand có thể mở rộng thị trường nội địa hiệu quả vượt ra ngoài biên giới quốc gia, giảm sự cưỡng bức cấu trúc phải xuất khẩu tới các thị trường xa, chi phí cao.</w:t>
      </w:r>
    </w:p>
    <w:p>
      <w:pPr>
        <w:pStyle w:val="BodyText"/>
      </w:pPr>
      <w:r>
        <w:t xml:space="preserve">Về</w:t>
      </w:r>
      <w:r>
        <w:t xml:space="preserve"> </w:t>
      </w:r>
      <w:r>
        <w:rPr>
          <w:bCs/>
          <w:b/>
        </w:rPr>
        <w:t xml:space="preserve">Điều kiện tiên quyết 2</w:t>
      </w:r>
      <w:r>
        <w:t xml:space="preserve"> </w:t>
      </w:r>
      <w:r>
        <w:t xml:space="preserve">(chi phí thương mại có thể quản lý được): giảm chi phí vận tải thông qua các chương trình kết nối hàng hải khu vực và, khi khả thi, trợ cấp vận tải hàng không cho các mặt hàng xuất khẩu giá trị cao, trọng lượng thấp (sản phẩm nông nghiệp, thủ công, dịch vụ) có thể giảm mức khuếch đại chi phí thương mại thúc đẩy FIP.</w:t>
      </w:r>
    </w:p>
    <w:p>
      <w:pPr>
        <w:pStyle w:val="BodyText"/>
      </w:pPr>
      <w:r>
        <w:t xml:space="preserve">Về</w:t>
      </w:r>
      <w:r>
        <w:t xml:space="preserve"> </w:t>
      </w:r>
      <w:r>
        <w:rPr>
          <w:bCs/>
          <w:b/>
        </w:rPr>
        <w:t xml:space="preserve">Điều kiện tiên quyết 3</w:t>
      </w:r>
      <w:r>
        <w:t xml:space="preserve"> </w:t>
      </w:r>
      <w:r>
        <w:t xml:space="preserve">(thể chế vận hành được): phát triển thể chế có mục tiêu tập trung vào hạ tầng tạo thuận lợi thương mại, cơ quan tiêu chuẩn, trung gian tài trợ thương mại, cơ quan xúc tiến xuất khẩu có năng lực thực chất, thay vì cải cách quản trị chung chung, có thể giải quyết trực tiếp nhất cơ chế FIP. Bằng chứng của Goedhuys và Sleuwaegen (2013) về chứng nhận quốc tế mang tính gợi mở: phát hiện của họ rằng chứng nhận ISO cải thiện năng suất doanh nghiệp nhất quán với kết quả null về TCI ở đây nếu lợi ích năng suất của chứng nhận có điều kiện vào các thể chế hỗ trợ thực thi tiêu chuẩn và sự công nhận của khách hàng, những điều kiện vắng mặt trong bối cảnh SIDS.</w:t>
      </w:r>
    </w:p>
    <w:bookmarkEnd w:id="43"/>
    <w:bookmarkStart w:id="44" w:name="hạn-chế"/>
    <w:p>
      <w:pPr>
        <w:pStyle w:val="Heading3"/>
      </w:pPr>
      <w:r>
        <w:t xml:space="preserve">5.5 Hạn chế</w:t>
      </w:r>
    </w:p>
    <w:p>
      <w:pPr>
        <w:pStyle w:val="FirstParagraph"/>
      </w:pPr>
      <w:r>
        <w:t xml:space="preserve">Một số hạn chế giới hạn cách diễn giải các phát hiện của chúng tôi.</w:t>
      </w:r>
    </w:p>
    <w:p>
      <w:pPr>
        <w:pStyle w:val="BodyText"/>
      </w:pPr>
      <w:r>
        <w:t xml:space="preserve">Thứ nhất,</w:t>
      </w:r>
      <w:r>
        <w:t xml:space="preserve"> </w:t>
      </w:r>
      <w:r>
        <w:rPr>
          <w:bCs/>
          <w:b/>
        </w:rPr>
        <w:t xml:space="preserve">cấu trúc gộp mặt cắt ngang</w:t>
      </w:r>
      <w:r>
        <w:t xml:space="preserve">: trong khi chúng tôi gộp qua nhiều đợt khảo sát quốc gia-năm (2009–2025), ít nền kinh tế SIDS có nhiều hơn một đợt WBES (xem Bảng 1), làm hạn chế nhận dạng panel cho các tác động nhân quả. Ước lượng FIP chủ yếu được nhận dạng từ biến thiên mặt cắt ngang của FSTS trong các ô quốc gia-năm. Công việc tương lai sử dụng dữ liệu panel, nơi có sẵn cho Fiji, Papua New Guinea và Vanuatu (ba nền kinh tế có hai đợt khảo sát), có thể củng cố nhận dạng nhân quả.</w:t>
      </w:r>
    </w:p>
    <w:p>
      <w:pPr>
        <w:pStyle w:val="BodyText"/>
      </w:pPr>
      <w:r>
        <w:t xml:space="preserve">Thứ hai,</w:t>
      </w:r>
      <w:r>
        <w:t xml:space="preserve"> </w:t>
      </w:r>
      <w:r>
        <w:rPr>
          <w:bCs/>
          <w:b/>
        </w:rPr>
        <w:t xml:space="preserve">đo lường FSTS trong các bối cảnh xuất khẩu mỏng</w:t>
      </w:r>
      <w:r>
        <w:t xml:space="preserve">: với FSTS trung bình 0,048 và chỉ 13,8% nhà xuất khẩu, phân phối FSTS lệch phải mạnh. Các ước lượng hệ số trong M2 có thể nhạy cảm với một nhóm nhỏ giá trị ngoại lai FSTS cao; các kết quả bậc hai không có ý nghĩa nên được diễn giải thận trọng. Công việc tương lai có thể sử dụng hồi quy phân vị hoặc giới hạn cực trị (winsorize) để đánh giá độ nhạy phân phối.</w:t>
      </w:r>
    </w:p>
    <w:p>
      <w:pPr>
        <w:pStyle w:val="BodyText"/>
      </w:pPr>
      <w:r>
        <w:t xml:space="preserve">Thứ ba,</w:t>
      </w:r>
      <w:r>
        <w:t xml:space="preserve"> </w:t>
      </w:r>
      <w:r>
        <w:rPr>
          <w:bCs/>
          <w:b/>
        </w:rPr>
        <w:t xml:space="preserve">DAI chỉ là biến đại diện Tier-1</w:t>
      </w:r>
      <w:r>
        <w:t xml:space="preserve">: thước đo áp dụng số của chúng tôi chỉ nắm bắt hiện diện website, một chỉ báo nền tảng, tĩnh. Điều này phù hợp với bối cảnh SIDS do tính sẵn có hạn chế của các chỉ báo hạ tầng số tiên tiến hơn trong WBES, nhưng có nghĩa là chúng tôi không thể đánh giá liệu các năng lực số tinh vi hơn (thương mại điện tử, thanh toán di động, điện toán đám mây) có thể điều tiết FIP khác đi hay không. Chúng tôi minh thị không tuyên bố đo lường năng lực số động.</w:t>
      </w:r>
    </w:p>
    <w:p>
      <w:pPr>
        <w:pStyle w:val="BodyText"/>
      </w:pPr>
      <w:r>
        <w:t xml:space="preserve">Thứ tư,</w:t>
      </w:r>
      <w:r>
        <w:t xml:space="preserve"> </w:t>
      </w:r>
      <w:r>
        <w:rPr>
          <w:bCs/>
          <w:b/>
        </w:rPr>
        <w:t xml:space="preserve">khả năng khái quát hóa ngoài SIDS Thái Bình Dương</w:t>
      </w:r>
      <w:r>
        <w:t xml:space="preserve">: FIP được lý thuyết hóa là phát sinh khi ba điều kiện tiên quyết về cấu trúc đồng thời vắng mặt. Các bối cảnh cực đoan khác, gồm các vi quốc gia Sahara, các nền kinh tế vùng cao xa xôi, các bối cảnh hậu xung đột, có thể thể hiện các mô hình tương tự. SIDS Caribbean (không có trong mẫu của chúng tôi) đại diện cho một bối cảnh mở rộng tự nhiên.</w:t>
      </w:r>
    </w:p>
    <w:bookmarkEnd w:id="44"/>
    <w:bookmarkEnd w:id="45"/>
    <w:bookmarkStart w:id="46" w:name="kết-luận"/>
    <w:p>
      <w:pPr>
        <w:pStyle w:val="Heading2"/>
      </w:pPr>
      <w:r>
        <w:t xml:space="preserve">6. Kết luận</w:t>
      </w:r>
    </w:p>
    <w:p>
      <w:pPr>
        <w:pStyle w:val="FirstParagraph"/>
      </w:pPr>
      <w:r>
        <w:t xml:space="preserve">Chúng tôi giới thiệu Hình phạt Quốc tế hóa Cưỡng bức (FIP), tức tác động đơn điệu âm của cường độ quốc tế hóa lên hiệu quả doanh nghiệp khi ba điều kiện tiên quyết về cấu trúc của quan hệ hình chữ U ngược đồng thời vắng mặt: một thị trường nội địa khả thi, chi phí thương mại có thể quản lý được, và hỗ trợ thể chế vận hành được. Sử dụng dữ liệu WBES từ 959 doanh nghiệp trên bảy nền kinh tế SIDS Thái Bình Dương, chúng tôi tìm thấy sự ủng hộ vững chắc cho FIP trên nhiều đặc tả (β = −1,339, p &lt; .001 trong mô hình hiệu ứng cố định quốc gia và năm chính; β = −3,351, p &lt; .001 khi không có hiệu ứng cố định quốc gia; β = −1,176, p = ,130 trong mẫu con chỉ-nhà-xuất-khẩu). Số hạng bậc hai không có ý nghĩa, xác nhận dạng đơn điệu âm không có điểm ngưỡng quan sát được. Áp dụng số là null và, mặc dù năng lực công nghệ nâng mức năng suất tổng thể, cả hai năng lực đều không điều tiết độ dốc xuất khẩu–hiệu quả âm, nhất quán với cơ chế lý thuyết FIP.</w:t>
      </w:r>
    </w:p>
    <w:p>
      <w:pPr>
        <w:pStyle w:val="BodyText"/>
      </w:pPr>
      <w:r>
        <w:t xml:space="preserve">Các phát hiện này đóng góp cho lý thuyết IB theo hai cách. Thứ nhất, chúng giúp định hướng lại cuộc thảo luận về các tác động thể chế từ</w:t>
      </w:r>
      <w:r>
        <w:t xml:space="preserve"> </w:t>
      </w:r>
      <w:r>
        <w:t xml:space="preserve">“</w:t>
      </w:r>
      <w:r>
        <w:t xml:space="preserve">điều tiết thể chế của cường độ I–P</w:t>
      </w:r>
      <w:r>
        <w:t xml:space="preserve">”</w:t>
      </w:r>
      <w:r>
        <w:t xml:space="preserve"> </w:t>
      </w:r>
      <w:r>
        <w:t xml:space="preserve">sang</w:t>
      </w:r>
      <w:r>
        <w:t xml:space="preserve"> </w:t>
      </w:r>
      <w:r>
        <w:t xml:space="preserve">“</w:t>
      </w:r>
      <w:r>
        <w:t xml:space="preserve">định đoạt thể chế của dấu I–P</w:t>
      </w:r>
      <w:r>
        <w:t xml:space="preserve">”</w:t>
      </w:r>
      <w:r>
        <w:t xml:space="preserve">, gợi ý rằng hình chữ U ngược có thể có điều kiện vào các điều kiện tiên quyết về cấu trúc thay vì áp dụng rộng rãi qua các bối cảnh. Thứ hai, chúng mở rộng việc ứng dụng</w:t>
      </w:r>
      <w:r>
        <w:t xml:space="preserve"> </w:t>
      </w:r>
      <w:r>
        <w:t xml:space="preserve">“</w:t>
      </w:r>
      <w:r>
        <w:t xml:space="preserve">quốc tế hóa cưỡng bức</w:t>
      </w:r>
      <w:r>
        <w:t xml:space="preserve">”</w:t>
      </w:r>
      <w:r>
        <w:t xml:space="preserve"> </w:t>
      </w:r>
      <w:r>
        <w:t xml:space="preserve">vượt ra ngoài văn liệu doanh nghiệp nhỏ và vừa vào lĩnh vực kết quả-hiệu quả, cung cấp một construct được định nghĩa lý thuyết và có cơ sở thực nghiệm (FIP) mà nghiên cứu tương lai có thể xây dựng trên đó.</w:t>
      </w:r>
    </w:p>
    <w:p>
      <w:pPr>
        <w:pStyle w:val="BodyText"/>
      </w:pPr>
      <w:r>
        <w:t xml:space="preserve">Đối với chương trình nghị sự chính sách phát triển thế giới, FIP gợi ý rằng các chiến lược xúc tiến xuất khẩu tại SIDS đòi hỏi các can thiệp cấu trúc bổ trợ giải quyết chi phí thương mại, tính khả thi của thị trường nội địa thông qua hội nhập khu vực, và phát triển thể chế có mục tiêu, không chỉ đơn thuần là tăng cường hoạt động xuất khẩu tự thân.</w:t>
      </w:r>
    </w:p>
    <w:bookmarkEnd w:id="46"/>
    <w:bookmarkStart w:id="47" w:name="X5ded9c6c18a6af4b4bfba918e42f89954db9f05"/>
    <w:p>
      <w:pPr>
        <w:pStyle w:val="Heading2"/>
      </w:pPr>
      <w:r>
        <w:t xml:space="preserve">Công bố về AI tạo sinh và công nghệ hỗ trợ AI trong quá trình viết</w:t>
      </w:r>
    </w:p>
    <w:p>
      <w:pPr>
        <w:pStyle w:val="FirstParagraph"/>
      </w:pPr>
      <w:r>
        <w:t xml:space="preserve">Trong quá trình chuẩn bị công trình này, (các) tác giả đã sử dụng Grammarly, một công cụ hỗ trợ viết, nhằm sửa lỗi chính tả, ngữ pháp và dấu câu trong văn bản gốc của chính (các) tác giả. Không có công cụ trí tuệ nhân tạo tạo sinh nào được sử dụng để tạo, soạn thảo hay sáng tạo bất kỳ nội dung, phân tích hay diễn giải thực chất nào. Sau khi sử dụng công cụ này, (các) tác giả đã rà soát và chỉnh sửa nội dung khi cần và chịu trách nhiệm hoàn toàn về nội dung của ấn phẩm.</w:t>
      </w:r>
    </w:p>
    <w:bookmarkEnd w:id="47"/>
    <w:bookmarkStart w:id="51"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48">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49">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0">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bookmarkEnd w:id="51"/>
    <w:bookmarkStart w:id="55" w:name="phụ-lục-a-các-bảng"/>
    <w:p>
      <w:pPr>
        <w:pStyle w:val="Heading2"/>
      </w:pPr>
      <w:r>
        <w:t xml:space="preserve">Phụ lục A: Các bảng</w:t>
      </w:r>
    </w:p>
    <w:bookmarkStart w:id="52" w:name="bảng-1.-thống-kê-tóm-tắt-ở-cấp-quốc-gia"/>
    <w:p>
      <w:pPr>
        <w:pStyle w:val="Heading3"/>
      </w:pPr>
      <w:r>
        <w:t xml:space="preserve">Bảng 1. Thống kê tóm tắt ở cấp quốc gia</w:t>
      </w:r>
    </w:p>
    <w:tbl>
      <w:tblPr>
        <w:tblStyle w:val="Table"/>
        <w:tblW w:type="pct" w:w="5000"/>
        <w:tblLook w:firstRow="1" w:lastRow="0" w:firstColumn="0" w:lastColumn="0" w:noHBand="0" w:noVBand="0" w:val="0020"/>
        <w:jc w:val="start"/>
      </w:tblPr>
      <w:tblGrid>
        <w:gridCol w:w="1926"/>
        <w:gridCol w:w="1177"/>
        <w:gridCol w:w="1177"/>
        <w:gridCol w:w="1284"/>
        <w:gridCol w:w="1177"/>
        <w:gridCol w:w="1177"/>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 nhà xuất khẩu</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2009, 2025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2015, 2024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2009, 2023</w:t>
            </w:r>
          </w:p>
        </w:tc>
      </w:tr>
      <w:tr>
        <w:tc>
          <w:tcPr/>
          <w:p>
            <w:pPr>
              <w:pStyle w:val="Compact"/>
              <w:jc w:val="left"/>
            </w:pPr>
            <w:r>
              <w:rPr>
                <w:bCs/>
                <w:b/>
              </w:rPr>
              <w:t xml:space="preserve">Tổng</w:t>
            </w:r>
          </w:p>
        </w:tc>
        <w:tc>
          <w:tcPr/>
          <w:p>
            <w:pPr>
              <w:pStyle w:val="Compact"/>
              <w:jc w:val="left"/>
            </w:pPr>
            <w:r>
              <w:rPr>
                <w:bCs/>
                <w:b/>
              </w:rPr>
              <w:t xml:space="preserve">959</w:t>
            </w:r>
          </w:p>
        </w:tc>
        <w:tc>
          <w:tcPr/>
          <w:p>
            <w:pPr>
              <w:pStyle w:val="Compact"/>
              <w:jc w:val="left"/>
            </w:pPr>
            <w:r>
              <w:rPr>
                <w:bCs/>
                <w:b/>
              </w:rPr>
              <w:t xml:space="preserve">132</w:t>
            </w:r>
          </w:p>
        </w:tc>
        <w:tc>
          <w:tcPr/>
          <w:p>
            <w:pPr>
              <w:pStyle w:val="Compact"/>
              <w:jc w:val="left"/>
            </w:pPr>
            <w:r>
              <w:rPr>
                <w:bCs/>
                <w:b/>
              </w:rPr>
              <w:t xml:space="preserve">13,8%</w:t>
            </w:r>
          </w:p>
        </w:tc>
        <w:tc>
          <w:tcPr/>
          <w:p>
            <w:pPr>
              <w:pStyle w:val="Compact"/>
              <w:jc w:val="left"/>
            </w:pPr>
            <w:r>
              <w:rPr>
                <w:bCs/>
                <w:b/>
              </w:rPr>
              <w:t xml:space="preserve">0,048</w:t>
            </w:r>
          </w:p>
        </w:tc>
        <w:tc>
          <w:tcPr/>
          <w:p>
            <w:pPr>
              <w:pStyle w:val="Compact"/>
              <w:jc w:val="left"/>
            </w:pPr>
            <w:r>
              <w:t xml:space="preserve">2009–2025</w:t>
            </w:r>
          </w:p>
        </w:tc>
      </w:tr>
    </w:tbl>
    <w:p>
      <w:pPr>
        <w:pStyle w:val="BodyText"/>
      </w:pPr>
      <w:r>
        <w:rPr>
          <w:iCs/>
          <w:i/>
        </w:rPr>
        <w:t xml:space="preserve">Ghi chú: N phản ánh mẫu phân tích (doanh nghiệp có ln năng suất lao động và FSTS không khuyết). Nhà xuất khẩu là doanh nghiệp có FSTS &gt; 0; FSTS trung bình tính trên toàn bộ doanh nghiệp, kể cả phi xuất khẩu. Fiji, Papua New Guinea và Vanuatu có hai đợt WBES; bốn nền kinh tế còn lại có một đợt.</w:t>
      </w:r>
    </w:p>
    <w:bookmarkEnd w:id="52"/>
    <w:bookmarkStart w:id="53" w:name="X75e62bac0c01aee2a59b5d414dacebd0c6e7883"/>
    <w:p>
      <w:pPr>
        <w:pStyle w:val="Heading3"/>
      </w:pPr>
      <w:r>
        <w:t xml:space="preserve">Bảng 2. Kết quả hồi quy: Cường độ quốc tế hóa và năng suất lao động</w:t>
      </w:r>
    </w:p>
    <w:tbl>
      <w:tblPr>
        <w:tblStyle w:val="Table"/>
        <w:tblW w:type="pct" w:w="5000"/>
        <w:tblLook w:firstRow="1" w:lastRow="0" w:firstColumn="0" w:lastColumn="0" w:noHBand="0" w:noVBand="0" w:val="0020"/>
        <w:jc w:val="start"/>
      </w:tblPr>
      <w:tblGrid>
        <w:gridCol w:w="1020"/>
        <w:gridCol w:w="1080"/>
        <w:gridCol w:w="1080"/>
        <w:gridCol w:w="1020"/>
        <w:gridCol w:w="1080"/>
        <w:gridCol w:w="1320"/>
        <w:gridCol w:w="1320"/>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−1,339*** (0,386)</w:t>
            </w:r>
          </w:p>
        </w:tc>
        <w:tc>
          <w:tcPr/>
          <w:p>
            <w:pPr>
              <w:pStyle w:val="Compact"/>
              <w:jc w:val="left"/>
            </w:pPr>
            <w:r>
              <w:t xml:space="preserve">−2,177 (1,603)</w:t>
            </w:r>
          </w:p>
        </w:tc>
        <w:tc>
          <w:tcPr/>
          <w:p>
            <w:pPr>
              <w:pStyle w:val="Compact"/>
              <w:jc w:val="left"/>
            </w:pPr>
            <w:r>
              <w:t xml:space="preserve">−2,979. (1,549)</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+1,125 (1,943)</w:t>
            </w:r>
          </w:p>
        </w:tc>
        <w:tc>
          <w:tcPr/>
          <w:p>
            <w:pPr>
              <w:pStyle w:val="Compact"/>
              <w:jc w:val="left"/>
            </w:pPr>
            <w:r>
              <w:t xml:space="preserve">+2,204 (1,796)</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−3,351*** (0,808)</w:t>
            </w:r>
          </w:p>
        </w:tc>
        <w:tc>
          <w:tcPr/>
          <w:p>
            <w:pPr>
              <w:pStyle w:val="Compact"/>
              <w:jc w:val="left"/>
            </w:pPr>
            <w:r>
              <w:t xml:space="preserve">−0,864. (0,441)</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+0,299** (0,099)</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+0,094 (0,088)</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−0,034 (0,089)</w:t>
            </w:r>
          </w:p>
        </w:tc>
        <w:tc>
          <w:tcPr/>
          <w:p>
            <w:pPr>
              <w:pStyle w:val="Compact"/>
              <w:jc w:val="left"/>
            </w:pPr>
            <w:r>
              <w:t xml:space="preserve">+0,002 (0,089)</w:t>
            </w:r>
          </w:p>
        </w:tc>
        <w:tc>
          <w:tcPr/>
          <w:p>
            <w:pPr>
              <w:pStyle w:val="Compact"/>
              <w:jc w:val="left"/>
            </w:pPr>
            <w:r>
              <w:t xml:space="preserve">+0,008 (0,090)</w:t>
            </w:r>
          </w:p>
        </w:tc>
        <w:tc>
          <w:tcPr/>
          <w:p>
            <w:pPr>
              <w:pStyle w:val="Compact"/>
              <w:jc w:val="left"/>
            </w:pPr>
            <w:r>
              <w:t xml:space="preserve">−0,032 (0,089)</w:t>
            </w:r>
          </w:p>
        </w:tc>
        <w:tc>
          <w:tcPr/>
          <w:p>
            <w:pPr>
              <w:pStyle w:val="Compact"/>
              <w:jc w:val="left"/>
            </w:pPr>
            <w:r>
              <w:t xml:space="preserve">−0,102 (0,147)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+0,015* (0,006)</w:t>
            </w:r>
          </w:p>
        </w:tc>
        <w:tc>
          <w:tcPr/>
          <w:p>
            <w:pPr>
              <w:pStyle w:val="Compact"/>
              <w:jc w:val="left"/>
            </w:pPr>
            <w:r>
              <w:t xml:space="preserve">+0,014* (0,006)</w:t>
            </w:r>
          </w:p>
        </w:tc>
        <w:tc>
          <w:tcPr/>
          <w:p>
            <w:pPr>
              <w:pStyle w:val="Compact"/>
              <w:jc w:val="left"/>
            </w:pPr>
            <w:r>
              <w:t xml:space="preserve">+0,014* (0,006)</w:t>
            </w:r>
          </w:p>
        </w:tc>
        <w:tc>
          <w:tcPr/>
          <w:p>
            <w:pPr>
              <w:pStyle w:val="Compact"/>
              <w:jc w:val="left"/>
            </w:pPr>
            <w:r>
              <w:t xml:space="preserve">+0,015* (0,006)</w:t>
            </w:r>
          </w:p>
        </w:tc>
        <w:tc>
          <w:tcPr/>
          <w:p>
            <w:pPr>
              <w:pStyle w:val="Compact"/>
              <w:jc w:val="left"/>
            </w:pPr>
            <w:r>
              <w:t xml:space="preserve">−0,008 (0,010)</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−0,433 (0,433)</w:t>
            </w:r>
          </w:p>
        </w:tc>
        <w:tc>
          <w:tcPr/>
          <w:p>
            <w:pPr>
              <w:pStyle w:val="Compact"/>
              <w:jc w:val="left"/>
            </w:pPr>
            <w:r>
              <w:t xml:space="preserve">−0,426 (0,423)</w:t>
            </w:r>
          </w:p>
        </w:tc>
        <w:tc>
          <w:tcPr/>
          <w:p>
            <w:pPr>
              <w:pStyle w:val="Compact"/>
              <w:jc w:val="left"/>
            </w:pPr>
            <w:r>
              <w:t xml:space="preserve">−0,426 (0,423)</w:t>
            </w:r>
          </w:p>
        </w:tc>
        <w:tc>
          <w:tcPr/>
          <w:p>
            <w:pPr>
              <w:pStyle w:val="Compact"/>
              <w:jc w:val="left"/>
            </w:pPr>
            <w:r>
              <w:t xml:space="preserve">−0,401 (0,449)</w:t>
            </w:r>
          </w:p>
        </w:tc>
        <w:tc>
          <w:tcPr/>
          <w:p>
            <w:pPr>
              <w:pStyle w:val="Compact"/>
              <w:jc w:val="left"/>
            </w:pPr>
            <w:r>
              <w:t xml:space="preserve">+0,297 (0,611)</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205</w:t>
            </w:r>
          </w:p>
        </w:tc>
        <w:tc>
          <w:tcPr/>
          <w:p>
            <w:pPr>
              <w:pStyle w:val="Compact"/>
              <w:jc w:val="left"/>
            </w:pPr>
            <w:r>
              <w:t xml:space="preserve">209</w:t>
            </w:r>
          </w:p>
        </w:tc>
        <w:tc>
          <w:tcPr/>
          <w:p>
            <w:pPr>
              <w:pStyle w:val="Compact"/>
              <w:jc w:val="left"/>
            </w:pPr>
            <w:r>
              <w:t xml:space="preserve">959</w:t>
            </w:r>
          </w:p>
        </w:tc>
      </w:tr>
      <w:tr>
        <w:tc>
          <w:tcPr/>
          <w:p>
            <w:pPr>
              <w:pStyle w:val="Compact"/>
              <w:jc w:val="left"/>
            </w:pPr>
            <w:r>
              <w:t xml:space="preserve">R²</w:t>
            </w:r>
          </w:p>
        </w:tc>
        <w:tc>
          <w:tcPr/>
          <w:p>
            <w:pPr>
              <w:pStyle w:val="Compact"/>
              <w:jc w:val="left"/>
            </w:pPr>
            <w:r>
              <w:t xml:space="preserve">0,657</w:t>
            </w:r>
          </w:p>
        </w:tc>
        <w:tc>
          <w:tcPr/>
          <w:p>
            <w:pPr>
              <w:pStyle w:val="Compact"/>
              <w:jc w:val="left"/>
            </w:pPr>
            <w:r>
              <w:t xml:space="preserve">0,667</w:t>
            </w:r>
          </w:p>
        </w:tc>
        <w:tc>
          <w:tcPr/>
          <w:p>
            <w:pPr>
              <w:pStyle w:val="Compact"/>
              <w:jc w:val="left"/>
            </w:pPr>
            <w:r>
              <w:t xml:space="preserve">0,667</w:t>
            </w:r>
          </w:p>
        </w:tc>
        <w:tc>
          <w:tcPr/>
          <w:p>
            <w:pPr>
              <w:pStyle w:val="Compact"/>
              <w:jc w:val="left"/>
            </w:pPr>
            <w:r>
              <w:t xml:space="preserve">0,678</w:t>
            </w:r>
          </w:p>
        </w:tc>
        <w:tc>
          <w:tcPr/>
          <w:p>
            <w:pPr>
              <w:pStyle w:val="Compact"/>
              <w:jc w:val="left"/>
            </w:pPr>
            <w:r>
              <w:t xml:space="preserve">0,109</w:t>
            </w:r>
          </w:p>
        </w:tc>
        <w:tc>
          <w:tcPr/>
          <w:p>
            <w:pPr>
              <w:pStyle w:val="Compact"/>
              <w:jc w:val="left"/>
            </w:pPr>
            <w:r>
              <w:t xml:space="preserve">0,004</w:t>
            </w:r>
          </w:p>
        </w:tc>
      </w:tr>
    </w:tbl>
    <w:p>
      <w:pPr>
        <w:pStyle w:val="BodyText"/>
      </w:pPr>
      <w:r>
        <w:rPr>
          <w:iCs/>
          <w:i/>
        </w:rPr>
        <w:t xml:space="preserve">Ghi chú: Hệ số được báo cáo với sai số chuẩn vững với phương sai sai số không đồng nhất trong ngoặc đơn. Hiệu ứng cố định quốc gia được hấp thụ trong M0–M3. *** p &lt; .001; ** p &lt; .01; * p &lt; .05; . p &lt; .10.</w:t>
      </w:r>
    </w:p>
    <w:p>
      <w:pPr>
        <w:pStyle w:val="BodyText"/>
      </w:pPr>
      <w:r>
        <w:rPr>
          <w:iCs/>
          <w:i/>
        </w:rPr>
        <w:t xml:space="preserve">Hình phạt Quốc tế hóa Cưỡng bức (FIP): Được xác nhận, β(FSTS_c) = −1,339, p &lt; .001 (M1).</w:t>
      </w:r>
    </w:p>
    <w:bookmarkEnd w:id="53"/>
    <w:bookmarkStart w:id="54" w:name="Xc008b9ee0e34f970d93cf050f8dda0b39320eef"/>
    <w:p>
      <w:pPr>
        <w:pStyle w:val="Heading3"/>
      </w:pPr>
      <w:r>
        <w:t xml:space="preserve">Bảng 3. Kiểm định vững: Mẫu con chỉ-nhà-xuất-khẩu (N = 132)</w:t>
      </w:r>
    </w:p>
    <w:tbl>
      <w:tblPr>
        <w:tblStyle w:val="Table"/>
        <w:tblW w:type="pct" w:w="5000"/>
        <w:tblLook w:firstRow="1" w:lastRow="0" w:firstColumn="0" w:lastColumn="0" w:noHBand="0" w:noVBand="0" w:val="0020"/>
        <w:jc w:val="start"/>
      </w:tblPr>
      <w:tblGrid>
        <w:gridCol w:w="3190"/>
        <w:gridCol w:w="1210"/>
        <w:gridCol w:w="770"/>
        <w:gridCol w:w="1540"/>
        <w:gridCol w:w="1210"/>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Hướng</w:t>
            </w:r>
          </w:p>
        </w:tc>
      </w:tr>
      <w:tr>
        <w:tc>
          <w:tcPr/>
          <w:p>
            <w:pPr>
              <w:pStyle w:val="Compact"/>
              <w:jc w:val="left"/>
            </w:pPr>
            <w:r>
              <w:t xml:space="preserve">OLS, hiệu ứng cố định quốc gia+năm, N=26</w:t>
            </w:r>
          </w:p>
        </w:tc>
        <w:tc>
          <w:tcPr/>
          <w:p>
            <w:pPr>
              <w:pStyle w:val="Compact"/>
              <w:jc w:val="left"/>
            </w:pPr>
            <w:r>
              <w:t xml:space="preserve">−1,176</w:t>
            </w:r>
          </w:p>
        </w:tc>
        <w:tc>
          <w:tcPr/>
          <w:p>
            <w:pPr>
              <w:pStyle w:val="Compact"/>
              <w:jc w:val="left"/>
            </w:pPr>
            <w:r>
              <w:t xml:space="preserve">0,763</w:t>
            </w:r>
          </w:p>
        </w:tc>
        <w:tc>
          <w:tcPr/>
          <w:p>
            <w:pPr>
              <w:pStyle w:val="Compact"/>
              <w:jc w:val="left"/>
            </w:pPr>
            <w:r>
              <w:t xml:space="preserve">,130</w:t>
            </w:r>
          </w:p>
        </w:tc>
        <w:tc>
          <w:tcPr/>
          <w:p>
            <w:pPr>
              <w:pStyle w:val="Compact"/>
              <w:jc w:val="left"/>
            </w:pPr>
            <w:r>
              <w:t xml:space="preserve">Âm (n.s.)</w:t>
            </w:r>
          </w:p>
        </w:tc>
      </w:tr>
      <w:tr>
        <w:tc>
          <w:tcPr/>
          <w:p>
            <w:pPr>
              <w:pStyle w:val="Compact"/>
              <w:jc w:val="left"/>
            </w:pPr>
            <w:r>
              <w:t xml:space="preserve">M1 toàn mẫu</w:t>
            </w:r>
          </w:p>
        </w:tc>
        <w:tc>
          <w:tcPr/>
          <w:p>
            <w:pPr>
              <w:pStyle w:val="Compact"/>
              <w:jc w:val="left"/>
            </w:pPr>
            <w:r>
              <w:t xml:space="preserve">−1,339</w:t>
            </w:r>
          </w:p>
        </w:tc>
        <w:tc>
          <w:tcPr/>
          <w:p>
            <w:pPr>
              <w:pStyle w:val="Compact"/>
              <w:jc w:val="left"/>
            </w:pPr>
            <w:r>
              <w:t xml:space="preserve">0,386</w:t>
            </w:r>
          </w:p>
        </w:tc>
        <w:tc>
          <w:tcPr/>
          <w:p>
            <w:pPr>
              <w:pStyle w:val="Compact"/>
              <w:jc w:val="left"/>
            </w:pPr>
            <w:r>
              <w:t xml:space="preserve">&lt;.001***</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−3,351</w:t>
            </w:r>
          </w:p>
        </w:tc>
        <w:tc>
          <w:tcPr/>
          <w:p>
            <w:pPr>
              <w:pStyle w:val="Compact"/>
              <w:jc w:val="left"/>
            </w:pPr>
            <w:r>
              <w:t xml:space="preserve">0,808</w:t>
            </w:r>
          </w:p>
        </w:tc>
        <w:tc>
          <w:tcPr/>
          <w:p>
            <w:pPr>
              <w:pStyle w:val="Compact"/>
              <w:jc w:val="left"/>
            </w:pPr>
            <w:r>
              <w:t xml:space="preserve">&lt;.001***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−0,864</w:t>
            </w:r>
          </w:p>
        </w:tc>
        <w:tc>
          <w:tcPr/>
          <w:p>
            <w:pPr>
              <w:pStyle w:val="Compact"/>
              <w:jc w:val="left"/>
            </w:pPr>
            <w:r>
              <w:t xml:space="preserve">0,441</w:t>
            </w:r>
          </w:p>
        </w:tc>
        <w:tc>
          <w:tcPr/>
          <w:p>
            <w:pPr>
              <w:pStyle w:val="Compact"/>
              <w:jc w:val="left"/>
            </w:pPr>
            <w:r>
              <w:t xml:space="preserve">,050</w:t>
            </w:r>
          </w:p>
        </w:tc>
        <w:tc>
          <w:tcPr/>
          <w:p>
            <w:pPr>
              <w:pStyle w:val="Compact"/>
              <w:jc w:val="left"/>
            </w:pPr>
            <w:r>
              <w:t xml:space="preserve">Âm</w:t>
            </w:r>
          </w:p>
        </w:tc>
      </w:tr>
    </w:tbl>
    <w:p>
      <w:pPr>
        <w:pStyle w:val="BodyText"/>
      </w:pPr>
      <w:r>
        <w:rPr>
          <w:iCs/>
          <w:i/>
        </w:rPr>
        <w:t xml:space="preserve">Ghi chú: Hình phạt là âm trên các đặc tả và mạnh nhất trong các mô hình hiệu ứng cố định. Kết quả chỉ-nhà-xuất-khẩu (β = −1,176) nhất quán về hướng nhưng không có ý nghĩa (N = 26; thiếu sức mạnh thống kê), do đó tự bản thân nó không thể loại trừ lựa chọn bất lợi.</w:t>
      </w:r>
    </w:p>
    <w:bookmarkEnd w:id="54"/>
    <w:bookmarkEnd w:id="55"/>
    <w:bookmarkEnd w:id="5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data360.worldbank.org/en/int/atlas/artificial-intelligence" TargetMode="External" /><Relationship Type="http://schemas.openxmlformats.org/officeDocument/2006/relationships/hyperlink" Id="rId50" Target="https://data360.worldbank.org/en/int/atlas/global-progress" TargetMode="External" /><Relationship Type="http://schemas.openxmlformats.org/officeDocument/2006/relationships/hyperlink" Id="rId48" Target="https://doi.org/10.1002/smj.2399" TargetMode="Externa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49" Target="https://data360.worldbank.org/en/int/atlas/artificial-intelligence" TargetMode="External" /><Relationship Type="http://schemas.openxmlformats.org/officeDocument/2006/relationships/hyperlink" Id="rId50" Target="https://data360.worldbank.org/en/int/atlas/global-progress" TargetMode="External" /><Relationship Type="http://schemas.openxmlformats.org/officeDocument/2006/relationships/hyperlink" Id="rId48" Target="https://doi.org/10.1002/smj.2399" TargetMode="Externa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2026-06-12T08:56:00Z</dcterms:created>
  <dcterms:modified xsi:type="dcterms:W3CDTF">2026-06-12T08:56:00Z</dcterms:modified>
</cp:coreProperties>
</file>

<file path=docProps/custom.xml><?xml version="1.0" encoding="utf-8"?>
<Properties xmlns="http://schemas.openxmlformats.org/officeDocument/2006/custom-properties" xmlns:vt="http://schemas.openxmlformats.org/officeDocument/2006/docPropsVTypes"/>
</file>