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Bốn truyền thống này không vận hành song song mà hội tụ quanh một trục tổ chức duy nhất: chế độ thể chế ICRV hoạt động như một bộ lọc chi phí giao dịch (transaction cost filter) xác định một bản đồ địa hình xuất khẩu chiến lược (strategic export topography), trong đó RBV (TCI, DAI) là các tấm lá chắn cấp doanh nghiệp, Uppsala mô tả sự di chuyển dọc theo địa hình, còn Upper Echelons đi vào như biến kiểm soát nội sinh về chất lượng quản trị.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 (kiểm soát quản trị nội sinh) đưa đặc điểm nhà quản trị (kinh nghiệm, học vấn, giới tính) vào như nhóm biến kiểm soát quản trị nội sinh, không phải nhân tố điều tiết trọng tâm, nhằm khóa chặt thiên lệch nội sinh phát sinh từ năng lực và sự đa dạng giới của nhà quản trị và bảo vệ tính nhân quả thuần khiết của tương tác Thể chế × Công nghệ; H5 thể chế nội địa điều tiết theo gradient ICRV sáu nhóm; H6 tính không đồng nhất theo thời gian. Bốn nhân tố điều tiết trọng tâm của khung là TCI (H2), DAI (H3), chế độ thể chế ICRV (H5), và thời gian (H6).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phân tích quốc gia đồng hành trong chuỗi luận án, phân tích Việt Nam và Singapore, và phân tích Trung Quốc,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(Vietnam analysis IV: β = 0.018, p =.942), conditional or null for Advanced (H3b), and distinguishable from TCI; H4 (endogenous governance control) enters top manager characteristics (experience, education, and gender) as a set of endogenous governance control variables rather than focal moderators, locking down the endogeneity bias arising from managerial capability and gender diversity in order to protect the causal purity of the Institution × Technology interaction; H5 home-country institutions moderating along the ICRV six-regime gradient; H6 temporal heterogeneity. The four focal moderators of the framework are TCI (H2), DAI (H3), the ICRV institutional regime (H5), and time (H6).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country analyses within the dissertation series, the Vietnam analysis, the Singapore analysis, and the China analysis,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Hàm ý quản trị: lộ trình chiến lược ba giai đoạn</w:t>
      </w:r>
      <w:r>
        <w:t xml:space="preserve"> </w:t>
      </w:r>
      <w:r>
        <w:t xml:space="preserve">2.4.3 Hạn chế nghiên cứu</w:t>
      </w:r>
      <w:r>
        <w:t xml:space="preserve"> </w:t>
      </w:r>
      <w:r>
        <w:t xml:space="preserve">2.4.4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phân tích quốc gia đồng hành</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1"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phân tích quốc gia đồng hành trong chuỗi luận án đã cung cấp bằng chứng quốc gia cụ thể để kiểm định khả năng giải thích của nó. Phân tích Trung Quốc SMEs (Đỗ &amp; Phan, 2026, JFAR đã công bố) trên 2.700 doanh nghiệp SMEs Trung Quốc tìm thấy dạng bậc ba (cubic nonlinearity / S-curve ba giai đoạn), cung cấp tiền thân thực nghiệm cho H1 và cơ sở để so sánh với phân tích Trung Quốc hai sóng. Phân tích Việt Nam trên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Phân tích Singapore trên 623 doanh nghiệp WBES 2023 cho thấy điểm uốn hàm ý ở FSTS khoảng 82% và DAI hoạt động như nguồn lực mở rộng tình huống với hệ số DAI×</w:t>
      </w:r>
      <m:oMath>
        <m:sSup>
          <m:e>
            <m:r>
              <m:rPr>
                <m:nor/>
                <m:sty m:val="p"/>
              </m:rPr>
              <m:t>FSTS</m:t>
            </m:r>
          </m:e>
          <m:sup>
            <m:r>
              <m:t>2</m:t>
            </m:r>
          </m:sup>
        </m:sSup>
      </m:oMath>
      <w:r>
        <w:t xml:space="preserve"> </w:t>
      </w:r>
      <w:r>
        <w:t xml:space="preserve">= +3,119 (p = 0,005). Phân tích Trung Quốc trên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các phân tích quốc gia của luận án (Việt Nam, Singapore, Trung Quốc).</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các phân tích quốc gia của luận án (Việt Nam, Singapore, Trung Quốc)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 là hàm lợi ích và C(, ) là hàm chi phí. Sự khác biệt giữa các dạng hàm nằm ở hình dạng của B(, ) và C(, )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bối cảnh thể chế quốc gia xuất xứ điều tiết đáng kể mối quan hệ I-P, củng cố cơ sở cho H5 (điều tiết theo chế độ thể chế ICRV) — trong nghiên cứu này được vận hành hóa như sự thay đổi</w:t>
      </w:r>
      <w:r>
        <w:t xml:space="preserve"> </w:t>
      </w:r>
      <w:r>
        <w:rPr>
          <w:iCs/>
          <w:i/>
        </w:rPr>
        <w:t xml:space="preserve">độ cong (concavity)</w:t>
      </w:r>
      <w:r>
        <w:t xml:space="preserve"> </w:t>
      </w:r>
      <w:r>
        <w:t xml:space="preserve">của đường cong theo chất lượng thể chế, chứ không phải sự dịch chuyển đơn điệu của điểm uốn.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Partial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Partial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w:t>
            </w:r>
            <w:r>
              <w:t xml:space="preserve">$15%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 JFAR)</w:t>
            </w:r>
          </w:p>
        </w:tc>
        <w:tc>
          <w:tcPr/>
          <w:p>
            <w:pPr>
              <w:pStyle w:val="Compact"/>
              <w:jc w:val="left"/>
            </w:pPr>
            <w:r>
              <w:t xml:space="preserve">Có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Kiểm soát (H4: kiểm soát quản trị nội sinh)</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 đến VI)</w:t>
            </w:r>
          </w:p>
        </w:tc>
        <w:tc>
          <w:tcPr/>
          <w:p>
            <w:pPr>
              <w:pStyle w:val="Compact"/>
              <w:jc w:val="left"/>
            </w:pPr>
            <w:r>
              <w:rPr>
                <w:bCs/>
                <w:b/>
              </w:rPr>
              <w:t xml:space="preserve">Có (Nhóm VI FIP)</w:t>
            </w:r>
          </w:p>
        </w:tc>
      </w:tr>
    </w:tbl>
    <w:p>
      <w:pPr>
        <w:pStyle w:val="BodyText"/>
      </w:pPr>
      <w:r>
        <w:rPr>
          <w:iCs/>
          <w:i/>
        </w:rPr>
        <w:t xml:space="preserve">Ghi chú: Có = kiểm định chính thức hoặc đóng góp lý thuyết rõ ràng; Partial = đề cập nhưng không phải trọng tâm; Không = không bao gồm; - = không áp dụng. FIP = Forced Internationalization Penalty. TCI và DAI được phân tách theo tiêu chí CDCM; nghiên cứu SMEs Trung Quốc của Đỗ &amp; Phan (2026, JFAR) không kiểm định CDCM (pre-framework) nhưng cung cấp bằng chứng phi tuyến cubic tiền thân.</w:t>
      </w:r>
    </w:p>
    <w:bookmarkEnd w:id="35"/>
    <w:bookmarkStart w:id="36" w:name="X87876e758b6f1bc3610c3cd7a165503b53f90f4"/>
    <w:p>
      <w:pPr>
        <w:pStyle w:val="Heading5"/>
      </w:pPr>
      <w:r>
        <w:t xml:space="preserve">Bằng chứng châu Á từ ba phân tích quốc gia đồng hành</w:t>
      </w:r>
    </w:p>
    <w:p>
      <w:pPr>
        <w:pStyle w:val="FirstParagraph"/>
      </w:pPr>
      <w:r>
        <w:t xml:space="preserve">Phân tích Việt Nam của luận án: trên 2.958 doanh nghiệp WBES ba sóng (2009, 2015, 2023), kết quả xác nhận chữ U ngược trong cả ba sóng với kiểm định Lind-Mehlum p &lt; 0,001 (tổng hợp). Điểm uốn: 46,2% (2009), 39,3% (2015), 41,6% (2023), 39,7% (tổng hợp). Phân tích này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của phân tích Việt Nam: phân tích Việt Nam của luận án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 X + δ_s + [λ_t] + ε_it. Đặc tả đầy đủ M0-M8 và bảng định nghĩa biến của phân tích Việt Nam được trình bày trong luận án (Mục 4.5.1). Chuỗi M0-M7 trong Chuyên đề 2 là các mô hình cấp độ pool 47 quốc gia, khác với đặc tả cấp độ quốc gia của phân tích Việt Nam.</w:t>
      </w:r>
    </w:p>
    <w:p>
      <w:pPr>
        <w:pStyle w:val="BodyText"/>
      </w:pPr>
      <w:r>
        <w:t xml:space="preserve">Phân tích Singapore của luận án: trên 623 doanh nghiệp WBES 2023, trong nền kinh tế số bão hòa, đường cong I-P chủ yếu dương, điểm uốn hàm ý ở FSTS khoảng 82% (vùng thưa dữ liệu; kiểm định Lind-Mehlum p = 0,303). DAI×</w:t>
      </w:r>
      <m:oMath>
        <m:sSup>
          <m:e>
            <m:r>
              <m:rPr>
                <m:nor/>
                <m:sty m:val="p"/>
              </m:rPr>
              <m:t>FSTS</m:t>
            </m:r>
          </m:e>
          <m:sup>
            <m:r>
              <m:t>2</m:t>
            </m:r>
          </m:sup>
        </m:sSup>
      </m:oMath>
      <w:r>
        <w:t xml:space="preserve"> </w:t>
      </w:r>
      <w:r>
        <w:t xml:space="preserve">= +3,119 (p = 0,005), DAI là nguồn lực mở rộng tình huống, chỉ phát huy ở FSTS cao nơi nhu cầu điều phối xuyên biên giới dày đặc. TCI dương trực tiếp (β = 0,153).</w:t>
      </w:r>
    </w:p>
    <w:p>
      <w:pPr>
        <w:pStyle w:val="BodyText"/>
      </w:pPr>
      <w:r>
        <w:t xml:space="preserve">Phân tích Trung Quốc của luận án: trên 4.559 doanh nghiệp WBES hai sóng (2012, 2024), kết quả cho thấy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phân tích quốc gia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SMEs Trung Quốc (Nhóm III)</w:t>
            </w:r>
          </w:p>
        </w:tc>
        <w:tc>
          <w:tcPr/>
          <w:p>
            <w:pPr>
              <w:pStyle w:val="Compact"/>
              <w:jc w:val="left"/>
            </w:pPr>
            <w:r>
              <w:t xml:space="preserve">Việt Nam (Nhóm IV)</w:t>
            </w:r>
          </w:p>
        </w:tc>
        <w:tc>
          <w:tcPr/>
          <w:p>
            <w:pPr>
              <w:pStyle w:val="Compact"/>
              <w:jc w:val="left"/>
            </w:pPr>
            <w:r>
              <w:t xml:space="preserve">Singapore (Nhóm I)</w:t>
            </w:r>
          </w:p>
        </w:tc>
        <w:tc>
          <w:tcPr/>
          <w:p>
            <w:pPr>
              <w:pStyle w:val="Compact"/>
              <w:jc w:val="left"/>
            </w:pPr>
            <w:r>
              <w:t xml:space="preserve">Trung Quốc (Nhóm III)</w:t>
            </w:r>
          </w:p>
        </w:tc>
      </w:tr>
      <w:tr>
        <w:tc>
          <w:tcPr/>
          <w:p>
            <w:pPr>
              <w:pStyle w:val="Compact"/>
              <w:jc w:val="left"/>
            </w:pPr>
            <w:r>
              <w:t xml:space="preserve">Nguồn</w:t>
            </w:r>
          </w:p>
        </w:tc>
        <w:tc>
          <w:tcPr/>
          <w:p>
            <w:pPr>
              <w:pStyle w:val="Compact"/>
              <w:jc w:val="left"/>
            </w:pPr>
            <w:r>
              <w:t xml:space="preserve">Đỗ &amp; Phan (JFAR, đã công bố 2026)</w:t>
            </w:r>
          </w:p>
        </w:tc>
        <w:tc>
          <w:tcPr/>
          <w:p>
            <w:pPr>
              <w:pStyle w:val="Compact"/>
              <w:jc w:val="left"/>
            </w:pPr>
            <w:r>
              <w:t xml:space="preserve">Phân tích Việt Nam của luận án</w:t>
            </w:r>
          </w:p>
        </w:tc>
        <w:tc>
          <w:tcPr/>
          <w:p>
            <w:pPr>
              <w:pStyle w:val="Compact"/>
              <w:jc w:val="left"/>
            </w:pPr>
            <w:r>
              <w:t xml:space="preserve">Phân tích Singapore của luận án</w:t>
            </w:r>
          </w:p>
        </w:tc>
        <w:tc>
          <w:tcPr/>
          <w:p>
            <w:pPr>
              <w:pStyle w:val="Compact"/>
              <w:jc w:val="left"/>
            </w:pPr>
            <w:r>
              <w:t xml:space="preserve">Phân tích Trung Quốc của luận án</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~82%</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~82%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nghiên cứu SMEs Trung Quốc của Đỗ &amp; Phan (2026, JFAR) là công trình tiền thân đã công bố, tìm thấy bậc ba (cubic nonlinearity) trong mẫu SMEs Trung Quốc, bằng chứng quan trọng cho dạng S-curve trong H1. Nghiên cứu này không kiểm định CDCM, được đưa vào đây để làm rõ sự tiến hóa phương pháp từ mẫu SMEs Trung Quốc sang phân tích Trung Quốc hai sóng của luận án.</w:t>
      </w:r>
    </w:p>
    <w:p>
      <w:pPr>
        <w:pStyle w:val="BodyText"/>
      </w:pPr>
      <w:r>
        <w:t xml:space="preserve">Bốn phân tích cùng xác nhận ba dự đoán cốt lõi của CDCM: TCI là nhân quả và bền vững qua ba nền kinh tế khác nhau; DAI là phụ thuộc ngữ cảnh, không đồng nhất; chữ U ngược (hoặc S-curve cubic trong nghiên cứu SMEs Trung Quốc đã công bố)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từ phân tích Việt Nam của luận án (điểm uốn 39-46%) và phân tích Trung Quốc của luận án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từ phân tích Việt Nam của luận án (TCI trực tiếp β = 0,179, nhân quả từ IV) và phân tích Trung Quốc của luận án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cơ sở lý thuyết cho khối kiểm soát quản trị nội sinh H4 (kinh nghiệm, học vấn, giới tính nhà quản trị). Để bảo vệ tính nhân quả thuần khiết của tương tác Thể chế × Công nghệ vốn là thông điệp vĩ mô của khung,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Các đặc điểm này tác động qua hai kênh, chất lượng quyết định (tránh quốc tế hóa sớm) và năng lực điều phối (quản lý phức tạp đa thị trường); việc kiểm soát chúng, thay vì đặt chúng làm trục điều tiết, tránh thiên lệch biến bị bỏ sót (omitted-variable bias) và ngăn hiện tượng</w:t>
      </w:r>
      <w:r>
        <w:t xml:space="preserve"> </w:t>
      </w:r>
      <w:r>
        <w:t xml:space="preserve">“</w:t>
      </w:r>
      <w:r>
        <w:t xml:space="preserve">Kitchen Sink Modeling</w:t>
      </w:r>
      <w:r>
        <w:t xml:space="preserve">”</w:t>
      </w:r>
      <w:r>
        <w:t xml:space="preserve"> </w:t>
      </w:r>
      <w:r>
        <w:t xml:space="preserve">làm loãng thông điệp vĩ mô Institution × Technology. Đặc điểm nhà quản trị vẫn được ước lượng trong các mô hình thực nghiệm, song với tư cách biến kiểm soát.</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phân tích Singapore của luận án). Ở Nhóm IV, DAI dương nhưng phụ thuộc giai đoạn và chịu thiên lệch chọn lựa (phân tích Việt Nam của luận án).</w:t>
      </w:r>
    </w:p>
    <w:p>
      <w:pPr>
        <w:pStyle w:val="BodyText"/>
      </w:pPr>
      <w:r>
        <w:t xml:space="preserve">Chiều thứ hai là mức độ quốc tế hóa (FSTS): DAI là nguồn lực mở rộng tình huống, hiệu quả hơn ở FSTS cao nơi nhu cầu điều phối xuyên biên giới dày đặc (phân tích Singapore của luận án: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từ các phân tích quốc gia của luận án</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Việt Nam: TP 39-46%; Trung Quốc: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Việt Nam: β = 0,179 nhân quả (IV); Trung Quốc: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Singapore: DAI×</w:t>
            </w:r>
            <m:oMath>
              <m:sSup>
                <m:e>
                  <m:r>
                    <m:rPr>
                      <m:nor/>
                      <m:sty m:val="p"/>
                    </m:rPr>
                    <m:t>FSTS</m:t>
                  </m:r>
                </m:e>
                <m:sup>
                  <m:r>
                    <m:t>2</m:t>
                  </m:r>
                </m:sup>
              </m:sSup>
            </m:oMath>
            <w:r>
              <w:t xml:space="preserve"> </w:t>
            </w:r>
            <w:r>
              <w:t xml:space="preserve">= +3,119 (Nhóm I); Việt Nam: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 (kiểm soát quản trị nội sinh, không phải điều tiết trọng tâm)</w:t>
            </w:r>
          </w:p>
        </w:tc>
        <w:tc>
          <w:tcPr/>
          <w:p>
            <w:pPr>
              <w:pStyle w:val="Compact"/>
              <w:jc w:val="left"/>
            </w:pPr>
            <w:r>
              <w:t xml:space="preserve">(đưa vào như kiểm soát nội sinh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Việt Nam: Paternoster p &lt; 0,001; Trung Quốc: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 trọng tâm</w:t>
      </w:r>
      <w:r>
        <w:t xml:space="preserve"> </w:t>
      </w:r>
      <w:r>
        <w:t xml:space="preserve">cấp doanh nghiệp (TCI, DAI) và cấp quốc gia (ICRV regime, thời gian), và</w:t>
      </w:r>
      <w:r>
        <w:t xml:space="preserve"> </w:t>
      </w:r>
      <w:r>
        <w:rPr>
          <w:bCs/>
          <w:b/>
        </w:rPr>
        <w:t xml:space="preserve">biến kiểm soát</w:t>
      </w:r>
      <w:r>
        <w:t xml:space="preserve"> </w:t>
      </w:r>
      <w:r>
        <w:t xml:space="preserve">gồm khối kiểm soát quản trị nội sinh (kinh nghiệm, học vấn, giới tính nhà quản trị, H4) cùng các kiểm soát chuẩn (quy mô, tuổi, sở hữu nước ngoài, sector FE, country FE, year FE). Đặc điểm nhà quản trị được đưa vào như biến kiểm soát quản trị nội sinh chứ không phải nhân tố điều tiết trọng tâm; lựa chọn này nhằm khóa chặt thiên lệch nội sinh phát sinh từ năng lực và sự đa dạng giới của nhà quản trị, bảo vệ tính nhân quả thuần khiết của tương tác Thể chế × Công nghệ vốn là thông điệp vĩ mô của khung.</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Sơ đồ phân biệt rõ hai loại nhân tố. Bốn nhân tố điều tiết trọng tâm (focal moderators) nằm trong tầng điều tiết được giả thuyết hóa, phân theo hai cấp: cấp doanh nghiệp (TCI, H2, và DAI, H3) và cấp quốc gia (ICRV regime, H5, và giai đoạn thời gian, H6). Đặc điểm nhà quản trị (kinh nghiệm, học vấn, giới tính, H4) KHÔNG nằm trong tầng điều tiết trọng tâm mà được trình bày cùng nhóm biến kiểm soát quản trị nội sinh, nhằm khóa chặt thiên lệch nội sinh từ năng lực và sự đa dạng giới của nhà quản trị và bảo vệ tính nhân quả thuần khiết của tương tác Thể chế × Công nghệ. Các biến kiểm soát khác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(TCI điều tiết trọng tâm); Foundational Digital Adoption Framework (CDCM) biện minh cho H3 (DAI điều tiết trọng tâm); Institutional Theory biện minh cho H5 (điều tiết trọng tâm); Upper Echelons cung cấp cơ sở cho khối kiểm soát quản trị nội sinh H4. Bằng chứng neo đậu từ phân tích Việt Nam và Singapore và phân tích Trung Quốc của luận án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phân tích Singapore của luận án). Nhóm IV (Việt Nam, Lower_mid_transition, bão hòa số thấp; Nhóm IV trong cả hệ phân loại 5 nhóm của phân tích tổng hợp lẫn hệ 6 nhóm của CĐ2): DAI Tier-1 là ràng buộc đo lường; tác động dương theo OLS nhưng biến mất sau hiệu chỉnh nội sinh biến công cụ (β = 0,018, p = 0,942; phân tích Việt Nam của luận án). Nhóm III (Trung Quốc, Upper-Middle/Emerging transition, bão hòa số trung bình): DAI Tier-1 phổ biến &gt;60%, mất khả năng phân biệt, giữ như biến kiểm soát không phải biến điều tiết (phân tích Trung Quốc của luận án).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δ_exp &gt; 0</w:t>
            </w:r>
          </w:p>
        </w:tc>
        <w:tc>
          <w:tcPr/>
          <w:p>
            <w:pPr>
              <w:pStyle w:val="Compact"/>
              <w:jc w:val="left"/>
            </w:pPr>
            <w:r>
              <w:t xml:space="preserve">H4a (kiểm soát quản trị nội sinh)</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δ_educ &gt; 0</w:t>
            </w:r>
          </w:p>
        </w:tc>
        <w:tc>
          <w:tcPr/>
          <w:p>
            <w:pPr>
              <w:pStyle w:val="Compact"/>
              <w:jc w:val="left"/>
            </w:pPr>
            <w:r>
              <w:t xml:space="preserve">H4b (kiểm soát quản trị nội sinh)</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two-sided</w:t>
            </w:r>
          </w:p>
        </w:tc>
        <w:tc>
          <w:tcPr/>
          <w:p>
            <w:pPr>
              <w:pStyle w:val="Compact"/>
              <w:jc w:val="left"/>
            </w:pPr>
            <w:r>
              <w:t xml:space="preserve">H4c (kiểm soát đa dạng giới)</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phân tích quốc gia đồng hành (Việt Nam, Singapore, Trung Quốc) của luận án. Bốn nguyên tắc phát triển giả thuyết: cụ thể hóa dự đoán dấu; neo đậu thực nghiệm từ ít nhất một bằng chứng từ các phân tích quốc gia của luận án hoặc tổng quan định lượng; phân biệt giả thuyết xác nhận và khám phá; liên kết với CDCM.</w:t>
      </w:r>
    </w:p>
    <w:p>
      <w:pPr>
        <w:pStyle w:val="BodyText"/>
      </w:pPr>
      <w:r>
        <w:t xml:space="preserve">H1-H3 và H5 là các giả thuyết điều tiết trọng tâm có tính xác nhận (dấu rõ, $</w:t>
      </w:r>
      <w:r>
        <w:t xml:space="preserve">$2 bằng chứng neo đậu từ phân tích Việt Nam, Singapore và Trung Quốc); H6 là hỗn hợp xác nhận/khám phá (hướng rõ nhưng magnitude khám phá). Bốn nhân tố điều tiết trọng tâm của khung là TCI (H2), DAI (H3), chế độ thể chế ICRV (H5), và thời gian (H6). Khác với chúng, H4 (kiểm soát quản trị nội sinh) không còn là giả thuyết điều tiết trọng tâm: đặc điểm nhà quản trị (kinh nghiệm b5, học vấn b7a, giới tính b7) được đưa vào như nhóm biến kiểm soát quản trị nội sinh nhằm khóa chặt thiên lệch nội sinh phát sinh từ năng lực và sự đa dạng giới của nhà quản trị, qua đó bảo vệ tính nhân quả thuần khiết của tương tác Thể chế × Công nghệ. H4 vẫn giữ ký hiệu H4a-H4c để tương thích với các bản thảo đồng hành (phân tích Việt Nam, Singapore và Trung Quốc), song được diễn giải như tập kiểm soát chứ không phải trục điều tiết.</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Điều mà chế độ thể chế chi phối một cách có hệ thống là</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và phẳng dần về gần tuyến tính ở chế độ tiên tiến (Nhóm I). Điểm uốn theo nhóm là không đồng nhất (khoảng 16–50% FSTS, cụm quanh ~40%) và không dịch chuyển đơn điệu; ở cấp đơn quốc gia, các neo đậu quan sát được gồm Nhóm III (47-49%) và Nhóm IV (39-46%), còn Nhóm VI có pattern gánh nặng bắt buộc, không có chữ U ngược điển hình. Lưu ý: phân tích Singapore (TP ~82%) là ngoại lệ đơn quốc gia với LM p = 0,303 (không có ý nghĩa), không đại diện cho mẫu Nhóm I trong phân tích đa quốc gia.</w:t>
      </w:r>
    </w:p>
    <w:p>
      <w:pPr>
        <w:pStyle w:val="BodyText"/>
      </w:pPr>
      <w:r>
        <w:t xml:space="preserve">Bằng chứng neo đậu: phân tích Việt Nam (Nhóm IV): Lind-Mehlum p &lt; 0,001 (tổng hợp), điểm uốn 39-46%. phân tích Trung Quốc (Nhóm III): Lind-Mehlum xác nhận hai sóng, điểm uốn 47-49%. phân tích Singapore (Nhóm I): Lind-Mehlum p = 0,303, chủ yếu dương, điểm uốn ~82%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w:t>
      </w:r>
      <w:r>
        <w:t xml:space="preserve"> </w:t>
      </w:r>
      <w:r>
        <w:rPr>
          <w:bCs/>
          <w:b/>
        </w:rPr>
        <w:t xml:space="preserve">Độ cong (concavity / biên độ)</w:t>
      </w:r>
      <w:r>
        <w:t xml:space="preserve"> </w:t>
      </w:r>
      <w:r>
        <w:t xml:space="preserve">sâu dần theo gradient ICRV khi chất lượng thể chế suy giảm: gần tuyến tính ở Nhóm I và cong sâu hơn ở các nhóm thể chế yếu, với Nhóm VI có pattern gánh nặng bắt buộc (không có điểm uốn). Điểm uốn theo nhóm là không đồng nhất (cụm quanh ~40%) và không dịch chuyển đơn điệu; thể chế càng yếu, hình phạt sau đỉnh cho quốc tế hóa quá mức càng gay gắt.</w:t>
      </w:r>
    </w:p>
    <w:p>
      <w:pPr>
        <w:pStyle w:val="BodyText"/>
      </w:pPr>
      <w:r>
        <w:t xml:space="preserve">H1a (</w:t>
      </w:r>
      <w:r>
        <w:t xml:space="preserve">“</w:t>
      </w:r>
      <w:r>
        <w:t xml:space="preserve">Vách gia nhập</w:t>
      </w:r>
      <w:r>
        <w:t xml:space="preserve">”</w:t>
      </w:r>
      <w:r>
        <w:t xml:space="preserve">, biên tham gia): Bước chuyển rời rạc từ không xuất khẩu (FSTS = 0) sang có xuất khẩu (FSTS &gt; 0) tạo ra một bậc nhảy năng suất lao động dương và đáng kể, đây mới là động lực chính của hiệu ứng I-P. Cơ chế là sự hấp thụ chi phí cố định (fixed-cost absorption): doanh nghiệp vượt được ngưỡng đầu tư ban đầu để tham gia thị trường xuất khẩu (tuân thủ tiêu chuẩn, kênh phân phối, năng lực ngoại thương) sẽ phân bổ chi phí cố định đó lên một nền doanh thu rộng hơn và tự chọn lọc về nhóm doanh nghiệp năng suất cao hơn theo logic Melitz (2003). Phần lớn lợi ích I-P do đó được hiện thực hóa ngay tại biên tham gia, chứ không phải dọc theo biên cường độ.</w:t>
      </w:r>
    </w:p>
    <w:p>
      <w:pPr>
        <w:pStyle w:val="BodyText"/>
      </w:pPr>
      <w:r>
        <w:t xml:space="preserve">H1b (biên cường độ, gần phẳng/gần tuyến tính): Trong mẫu chỉ gồm doanh nghiệp đã xuất khẩu, quỹ đạo I-P gần như phẳng; thành phần bậc hai mất ý nghĩa thống kê. Bằng chứng neo đậu trực tiếp là kết quả within-exporter của phân tích Việt Nam, nơi số hạng</w:t>
      </w:r>
      <w:r>
        <w:t xml:space="preserve"> </w:t>
      </w:r>
      <m:oMath>
        <m:sSup>
          <m:e>
            <m:r>
              <m:rPr>
                <m:nor/>
                <m:sty m:val="p"/>
              </m:rPr>
              <m:t>FSTS</m:t>
            </m:r>
          </m:e>
          <m:sup>
            <m:r>
              <m:t>2</m:t>
            </m:r>
          </m:sup>
        </m:sSup>
      </m:oMath>
      <w:r>
        <w:t xml:space="preserve"> </w:t>
      </w:r>
      <w:r>
        <w:t xml:space="preserve">trong mẫu con doanh nghiệp xuất khẩu cho p = 0,660 (không có ý nghĩa), cho thấy độ cong chữ U ngược quan sát ở mẫu đầy đủ chủ yếu được dẫn dắt bởi vách gia nhập H1a chứ không phải bởi sự suy giảm hiệu suất ở cường độ cao trong nội bộ nhóm xuất khẩu. Hệ quả: sau khi đã gia nhập, việc tăng tỉ lệ xuất khẩu tiếp theo chỉ tạo thêm năng suất khi được hậu thuẫn bởi năng lực công nghệ lõi (TCI) hoặc, trong những chế độ phù hợp, bởi năng lực số (DAI); bản thân cường độ xuất khẩu không tự sinh lợi.</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phân tích Việt Nam: β(TCI) = 0,179 (p &lt; 0,001) bền vững 3 sóng; biến công cụ cho β(TCI) = 1,639 (p &lt; 0,001, F bậc một = 22,1), TCI là nhân quả. phân tích Trung Quốc: β_z(TCI) tăng từ +0,260 (2012) lên +0,426 (2024), Paternoster z = −2,55 (p = 0,011), TCI nâng mặt bằng tăng cường theo thời gian. phân tích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Sự phân biệt cơ chế giữa TCI và DAI là trục lý thuyết cốt lõi của khung và cần được phát biểu sắc nét. TCI là nguồn lực</w:t>
      </w:r>
      <w:r>
        <w:t xml:space="preserve"> </w:t>
      </w:r>
      <w:r>
        <w:t xml:space="preserve">“</w:t>
      </w:r>
      <w:r>
        <w:t xml:space="preserve">nâng mặt bằng</w:t>
      </w:r>
      <w:r>
        <w:t xml:space="preserve">”</w:t>
      </w:r>
      <w:r>
        <w:t xml:space="preserve"> </w:t>
      </w:r>
      <w:r>
        <w:t xml:space="preserve">(level-shifter) mang tính nhân quả: nội tại, tích lũy theo thời gian, khó bắt chước (VRIN), nó nâng toàn bộ đường cong năng suất một cách đồng nhất qua mọi mức FSTS và mọi chế độ thể chế, đúng như bằng chứng nhân quả từ biến công cụ ở phân tích Việt Nam (β_IV = 1,639) và xu hướng tăng cường theo thời gian ở phân tích Trung Quốc. Ngược lại, DAI là nguồn lực</w:t>
      </w:r>
      <w:r>
        <w:t xml:space="preserve"> </w:t>
      </w:r>
      <w:r>
        <w:t xml:space="preserve">“</w:t>
      </w:r>
      <w:r>
        <w:t xml:space="preserve">mở rộng tình huống</w:t>
      </w:r>
      <w:r>
        <w:t xml:space="preserve">”</w:t>
      </w:r>
      <w:r>
        <w:t xml:space="preserve"> </w:t>
      </w:r>
      <w:r>
        <w:t xml:space="preserve">(curve-reshaper / situational), mang tính ngoại tại và phụ thuộc hệ sinh thái số: tác động của nó không cố định mà bật/tắt theo bối cảnh, chỉ phát huy khi nhu cầu điều phối xuyên biên giới đủ dày (FSTS cao, phân tích Singapore) hoặc khi nó bù đắp khoảng trống thể chế (chế độ yếu, Lá chắn số). Một cách ngắn gọn: TCI dịch chuyển mặt bằng lợi nhuận, còn DAI mở rộng vùng điều kiện mà ở đó quốc tế hóa vẫn sinh lợi. Coltman và cộng sự (2008) xác nhận hai cấu trúc thỏa mãn tiêu chí tổng hợp formative riêng biệt, củng cố rằng đây là hai nguồn lực phân biệt chứ không phải hai thước đo của cùng một năng lực.</w:t>
      </w:r>
    </w:p>
    <w:p>
      <w:pPr>
        <w:pStyle w:val="BodyText"/>
      </w:pPr>
      <w:r>
        <w:t xml:space="preserve">Bằng chứng neo đậu: phân tích Singapore:</w:t>
      </w:r>
      <w:r>
        <w:t xml:space="preserve"> </w:t>
      </w:r>
      <m:oMath>
        <m:sSup>
          <m:e>
            <m:r>
              <m:rPr>
                <m:nor/>
                <m:sty m:val="p"/>
              </m:rPr>
              <m:t>FSTS</m:t>
            </m:r>
          </m:e>
          <m:sup>
            <m:r>
              <m:t>2</m:t>
            </m:r>
          </m:sup>
        </m:sSup>
      </m:oMath>
      <w:r>
        <w:t xml:space="preserve">×DAI = +3,119 (p = 0,005), DAI mở rộng tình huống có điều kiện. phân tích Việt Nam: biến công cụ null β = 0,018 (p = 0,942), OLS dương = phụ thuộc chọn lựa, không nhân quả. phân tích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phân tích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p>
      <w:pPr>
        <w:pStyle w:val="BodyText"/>
      </w:pPr>
      <w:r>
        <w:rPr>
          <w:bCs/>
          <w:b/>
        </w:rPr>
        <w:t xml:space="preserve">H3d (Lá chắn số / Digital Shield, hiệu ứng hai chiều DAI×ICRV):</w:t>
      </w:r>
      <w:r>
        <w:t xml:space="preserve"> </w:t>
      </w:r>
      <w:r>
        <w:t xml:space="preserve">Trên toàn pool, DAI không định hình lại độ cong của đường cong I-P (tương tác ba chiều FSTS×DAI×ICRV β</w:t>
      </w:r>
      <w:r>
        <w:t xml:space="preserve"> </w:t>
      </w:r>
      <m:oMath>
        <m:r>
          <m:rPr>
            <m:sty m:val="p"/>
          </m:rPr>
          <m:t>≈</m:t>
        </m:r>
      </m:oMath>
      <w:r>
        <w:t xml:space="preserve"> </w:t>
      </w:r>
      <w:r>
        <w:t xml:space="preserve">−0,001, không có ý nghĩa, một ranh giới cấu trúc), nhưng vẫn phát huy vai trò bảo vệ năng suất qua tương tác hai chiều với chế độ thể chế: β(DAI×ICRV) có ý nghĩa (p = 0,049, phân tích đa quốc gia), với hiệu ứng mạnh nhất ở các chế độ thể chế yếu. Cơ chế: trong môi trường khoảng trống thể chế, năng lực số nền tảng hạ chi phí giao dịch và mở rộng tiếp cận thị trường ảo, do đó hoạt động như một tấm lá chắn giữ mặt bằng năng suất; trong khi đó, ở các chế độ thể chế mạnh nơi Tier-1 đã bão hòa, lợi thế biên của DAI co lại. Sự đối lập giữa null ba chiều và hiệu ứng hai chiều có ý nghĩa là bằng chứng then chốt cho CDCM: DAI là nguồn lực phụ thuộc bối cảnh, vận hành theo cơ chế bù đắp thể chế chứ không phải đòn bẩy định hình lại đường cong.</w:t>
      </w:r>
    </w:p>
    <w:bookmarkEnd w:id="58"/>
    <w:bookmarkStart w:id="59" w:name="Xee6d8de7996976d1b9ddab7bc4a3affe052579c"/>
    <w:p>
      <w:pPr>
        <w:pStyle w:val="Heading5"/>
      </w:pPr>
      <w:r>
        <w:t xml:space="preserve">H4 (kiểm soát quản trị nội sinh), Đặc điểm nhà quản trị</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Tuy vậy, trong khung CĐ2 các đặc điểm này không được nâng thành trục điều tiết trọng tâm. Để bảo vệ tính nhân quả thuần khiết của tương tác Thể chế × Công nghệ,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Lựa chọn này có chủ đích về mặt phương pháp. Một mặt, nó tránh</w:t>
      </w:r>
      <w:r>
        <w:t xml:space="preserve"> </w:t>
      </w:r>
      <w:r>
        <w:t xml:space="preserve">“</w:t>
      </w:r>
      <w:r>
        <w:t xml:space="preserve">Kitchen Sink Modeling</w:t>
      </w:r>
      <w:r>
        <w:t xml:space="preserve">”</w:t>
      </w:r>
      <w:r>
        <w:t xml:space="preserve">, tức nhồi thêm một tầng điều tiết cấp vi mô làm loãng thông điệp vĩ mô Institution × Technology. Mặt khác, vì năng lực và sự đa dạng giới của nhà quản trị có thể đồng thời tác động đến quyết định xuất khẩu (FSTS), đến năng lực công nghệ (TCI), và đến năng suất, việc đưa chúng vào tập kiểm soát giúp hấp thụ thiên lệch biến bị bỏ sót và cô lập hiệu ứng nhân quả của tương tác trọng tâm. Trong bối cảnh WBES, ba biến đại diện có sẵn: số năm kinh nghiệm quản lý (b5), trình độ học vấn (b7a), và giới tính nhà quản trị cấp cao (b7).</w:t>
      </w:r>
    </w:p>
    <w:p>
      <w:pPr>
        <w:pStyle w:val="BodyText"/>
      </w:pPr>
      <w:r>
        <w:t xml:space="preserve">Ba thành phần của khối kiểm soát quản trị nội sinh, giữ ký hiệu H4a-H4c để tương thích với các bản thảo đồng hành (phân tích Việt Nam, Singapore và Trung Quốc):</w:t>
      </w:r>
    </w:p>
    <w:p>
      <w:pPr>
        <w:pStyle w:val="BodyText"/>
      </w:pPr>
      <w:r>
        <w:rPr>
          <w:bCs/>
          <w:b/>
        </w:rPr>
        <w:t xml:space="preserve">H4a (kiểm soát)</w:t>
      </w:r>
      <w:r>
        <w:t xml:space="preserve">: Kinh nghiệm quản lý (exp_manager, b5) được kiểm soát với kỳ vọng δ_exp &gt; 0. Nhà quản trị nhiều kinh nghiệm có khả năng nhận diện cơ hội thị trường và tránh bẫy tăng trưởng quá mức; khi không kiểm soát, kinh nghiệm có thể tạo tương quan giả giữa FSTS và năng suất.</w:t>
      </w:r>
    </w:p>
    <w:p>
      <w:pPr>
        <w:pStyle w:val="BodyText"/>
      </w:pPr>
      <w:r>
        <w:rPr>
          <w:bCs/>
          <w:b/>
        </w:rPr>
        <w:t xml:space="preserve">H4b (kiểm soát)</w:t>
      </w:r>
      <w:r>
        <w:t xml:space="preserve">: Học vấn nhà quản trị (educ_manager, b7a), đại diện cho năng lực nhận thức và khả năng tiếp thu kinh nghiệm quốc tế, được kiểm soát với kỳ vọng δ_educ &gt; 0. Nhà quản trị học vấn cao có khung nhận thức rộng hơn để xử lý sự phức tạp thông tin trong quản lý đa thị trường.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 (kiểm soát)</w:t>
      </w:r>
      <w:r>
        <w:t xml:space="preserve">: Giới tính nữ của nhà quản trị cấp cao (gender_manager = 1) được đưa vào như kiểm soát đa dạng giới, không đặt dấu kỳ vọng tiên nghiệm; báo cáo two-sided. Bằng chứng trong các nghiên cứu Upper Echelons không đồng nhất về chiều hướng cho châu Á (Hambrick, 2007).</w:t>
      </w:r>
    </w:p>
    <w:p>
      <w:pPr>
        <w:pStyle w:val="BodyText"/>
      </w:pPr>
      <w:r>
        <w:t xml:space="preserve">Phạm vi: H4a-H4c là biến đại diện (proxy) cho cơ chế Upper Echelons và được vận hành như tập kiểm soát quản trị nội sinh, không phải kiểm định trực tiếp cấu trúc lý thuyết gốc. Các hệ số liên quan được báo cáo nhưng không phải đối tượng diễn giải trọng tâm; hạn chế này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độ cong và điểm uốn theo nhóm ICRV (điểm uốn theo nhóm không đồng nhất, cụm quanh ~40% và không dịch chuyển đơn điệu; điều dịch chuyển có hệ thống là độ cong / biên độ):</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Độ cong dự kiến / neo đậu điểm uốn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Độ cong nông nhất, đường cong phẳng/gần tuyến tính (toàn mẫu đa quốc gia)</w:t>
            </w:r>
          </w:p>
        </w:tc>
        <w:tc>
          <w:tcPr/>
          <w:p>
            <w:pPr>
              <w:pStyle w:val="Compact"/>
              <w:jc w:val="left"/>
            </w:pPr>
            <w:r>
              <w:t xml:space="preserve">phân tích đa quốc gia pooled (N=82.302): độ cong nông nhất, gần tuyến tính ở nhóm tiên tiến (điểm uốn cụm quanh ~40%); phân tích Singapore TP ~82%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Độ cong trung bình; neo đơn quốc gia ~45-55% FSTS</w:t>
            </w:r>
          </w:p>
        </w:tc>
        <w:tc>
          <w:tcPr/>
          <w:p>
            <w:pPr>
              <w:pStyle w:val="Compact"/>
              <w:jc w:val="left"/>
            </w:pPr>
            <w:r>
              <w:t xml:space="preserve">phân tích Trung Quốc TP 47-49%</w:t>
            </w:r>
          </w:p>
        </w:tc>
      </w:tr>
      <w:tr>
        <w:tc>
          <w:tcPr/>
          <w:p>
            <w:pPr>
              <w:pStyle w:val="Compact"/>
              <w:jc w:val="left"/>
            </w:pPr>
            <w:r>
              <w:t xml:space="preserve">Nhóm IV (đang nổi)</w:t>
            </w:r>
          </w:p>
        </w:tc>
        <w:tc>
          <w:tcPr/>
          <w:p>
            <w:pPr>
              <w:pStyle w:val="Compact"/>
              <w:jc w:val="left"/>
            </w:pPr>
            <w:r>
              <w:t xml:space="preserve">Độ cong trung bình-mạnh; neo đơn quốc gia ~35-46% FSTS</w:t>
            </w:r>
          </w:p>
        </w:tc>
        <w:tc>
          <w:tcPr/>
          <w:p>
            <w:pPr>
              <w:pStyle w:val="Compact"/>
              <w:jc w:val="left"/>
            </w:pPr>
            <w:r>
              <w:t xml:space="preserve">phân tích Việt Nam TP 39-46%</w:t>
            </w:r>
          </w:p>
        </w:tc>
      </w:tr>
      <w:tr>
        <w:tc>
          <w:tcPr/>
          <w:p>
            <w:pPr>
              <w:pStyle w:val="Compact"/>
              <w:jc w:val="left"/>
            </w:pPr>
            <w:r>
              <w:t xml:space="preserve">Nhóm V (cận biên)</w:t>
            </w:r>
          </w:p>
        </w:tc>
        <w:tc>
          <w:tcPr/>
          <w:p>
            <w:pPr>
              <w:pStyle w:val="Compact"/>
              <w:jc w:val="left"/>
            </w:pPr>
            <w:r>
              <w:t xml:space="preserve">Độ cong sâu nhất, hình phạt sau đỉnh gay gắt</w:t>
            </w:r>
          </w:p>
        </w:tc>
        <w:tc>
          <w:tcPr/>
          <w:p>
            <w:pPr>
              <w:pStyle w:val="Compact"/>
              <w:jc w:val="left"/>
            </w:pPr>
            <w:r>
              <w:t xml:space="preserve">Khoảng trống thể chế làm khuếch đại chi phí giao dịch sau đỉnh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bắt buộc.</w:t>
      </w:r>
      <w:r>
        <w:t xml:space="preserve"> </w:t>
      </w:r>
      <w:r>
        <w:rPr>
          <w:bCs/>
          <w:b/>
        </w:rPr>
        <w:t xml:space="preserve">Độ cong (concavity / biên độ)</w:t>
      </w:r>
      <w:r>
        <w:t xml:space="preserve"> </w:t>
      </w:r>
      <w:r>
        <w:t xml:space="preserve">của hình chữ U ngược sâu dần theo gradient khi chất lượng thể chế suy giảm, từ gần tuyến tính ở Nhóm I đến cong sâu ở Nhóm V; điểm uốn theo nhóm không đồng nhất (cụm quanh ~40%) và không dịch chuyển đơn điệu. Thể chế càng yếu, hình phạt sau đỉnh cho quốc tế hóa quá mức càng gay gắt, phản ánh chi phí giao dịch cao và năng lực điều phối hạn chế trong bối cảnh thể chế yếu.</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phân tích Việt Nam: Paternoster z = 3,353 giữa 2009 và 2015 (p &lt; 0,001), quan hệ I-P dịch chuyển đáng kể. phân tích Trung Quốc: TCI Paternoster p = 0,011, hiệu ứng TCI tăng cường 2012 đến 2024. phân tích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phân tích Việt Nam, Singapore và Trung Quốc</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phân tích Việt Nam TP 39-46%; phân tích Trung Quốc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phân tích Việt Nam IV nhân quả; phân tích Trung Quốc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phân tích Việt Nam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phân tích Singapore +3,119; bão hòa số</w:t>
            </w:r>
          </w:p>
        </w:tc>
      </w:tr>
      <w:tr>
        <w:tc>
          <w:tcPr/>
          <w:p>
            <w:pPr>
              <w:pStyle w:val="Compact"/>
              <w:jc w:val="left"/>
            </w:pPr>
            <w:r>
              <w:t xml:space="preserve">H4a (kiểm soát)</w:t>
            </w:r>
          </w:p>
        </w:tc>
        <w:tc>
          <w:tcPr/>
          <w:p>
            <w:pPr>
              <w:pStyle w:val="Compact"/>
              <w:jc w:val="left"/>
            </w:pPr>
            <w:r>
              <w:t xml:space="preserve">Kinh nghiệm QL (kiểm soát nội sinh)</w:t>
            </w:r>
          </w:p>
        </w:tc>
        <w:tc>
          <w:tcPr/>
          <w:p>
            <w:pPr>
              <w:pStyle w:val="Compact"/>
              <w:jc w:val="left"/>
            </w:pPr>
            <w:r>
              <w:t xml:space="preserve">Upper Echelons</w:t>
            </w:r>
          </w:p>
        </w:tc>
        <w:tc>
          <w:tcPr/>
          <w:p>
            <w:pPr>
              <w:pStyle w:val="Compact"/>
              <w:jc w:val="left"/>
            </w:pPr>
            <w:r>
              <w:t xml:space="preserve">exp_manager (kiểm soát)</w:t>
            </w:r>
          </w:p>
        </w:tc>
        <w:tc>
          <w:tcPr/>
          <w:p>
            <w:pPr>
              <w:pStyle w:val="Compact"/>
              <w:jc w:val="left"/>
            </w:pPr>
            <w:r>
              <w:t xml:space="preserve">δ_exp &gt; 0; không phải trục điều tiết</w:t>
            </w:r>
          </w:p>
        </w:tc>
        <w:tc>
          <w:tcPr/>
          <w:p>
            <w:pPr>
              <w:pStyle w:val="Compact"/>
              <w:jc w:val="left"/>
            </w:pPr>
            <w:r>
              <w:t xml:space="preserve">(WBES b5)</w:t>
            </w:r>
          </w:p>
        </w:tc>
      </w:tr>
      <w:tr>
        <w:tc>
          <w:tcPr/>
          <w:p>
            <w:pPr>
              <w:pStyle w:val="Compact"/>
              <w:jc w:val="left"/>
            </w:pPr>
            <w:r>
              <w:t xml:space="preserve">H4b (kiểm soát)</w:t>
            </w:r>
          </w:p>
        </w:tc>
        <w:tc>
          <w:tcPr/>
          <w:p>
            <w:pPr>
              <w:pStyle w:val="Compact"/>
              <w:jc w:val="left"/>
            </w:pPr>
            <w:r>
              <w:t xml:space="preserve">Học vấn QL (kiểm soát nội sinh)</w:t>
            </w:r>
          </w:p>
        </w:tc>
        <w:tc>
          <w:tcPr/>
          <w:p>
            <w:pPr>
              <w:pStyle w:val="Compact"/>
              <w:jc w:val="left"/>
            </w:pPr>
            <w:r>
              <w:t xml:space="preserve">Upper Echelons</w:t>
            </w:r>
          </w:p>
        </w:tc>
        <w:tc>
          <w:tcPr/>
          <w:p>
            <w:pPr>
              <w:pStyle w:val="Compact"/>
              <w:jc w:val="left"/>
            </w:pPr>
            <w:r>
              <w:t xml:space="preserve">educ_manager (kiểm soát)</w:t>
            </w:r>
          </w:p>
        </w:tc>
        <w:tc>
          <w:tcPr/>
          <w:p>
            <w:pPr>
              <w:pStyle w:val="Compact"/>
              <w:jc w:val="left"/>
            </w:pPr>
            <w:r>
              <w:t xml:space="preserve">δ_educ &gt; 0; không phải trục điều tiết</w:t>
            </w:r>
          </w:p>
        </w:tc>
        <w:tc>
          <w:tcPr/>
          <w:p>
            <w:pPr>
              <w:pStyle w:val="Compact"/>
              <w:jc w:val="left"/>
            </w:pPr>
            <w:r>
              <w:t xml:space="preserve">(WBES b7a)</w:t>
            </w:r>
          </w:p>
        </w:tc>
      </w:tr>
      <w:tr>
        <w:tc>
          <w:tcPr/>
          <w:p>
            <w:pPr>
              <w:pStyle w:val="Compact"/>
              <w:jc w:val="left"/>
            </w:pPr>
            <w:r>
              <w:t xml:space="preserve">H4c (kiểm soát)</w:t>
            </w:r>
          </w:p>
        </w:tc>
        <w:tc>
          <w:tcPr/>
          <w:p>
            <w:pPr>
              <w:pStyle w:val="Compact"/>
              <w:jc w:val="left"/>
            </w:pPr>
            <w:r>
              <w:t xml:space="preserve">Giới tính QL (kiểm soát đa dạng giới)</w:t>
            </w:r>
          </w:p>
        </w:tc>
        <w:tc>
          <w:tcPr/>
          <w:p>
            <w:pPr>
              <w:pStyle w:val="Compact"/>
              <w:jc w:val="left"/>
            </w:pPr>
            <w:r>
              <w:t xml:space="preserve">Upper Echelons</w:t>
            </w:r>
          </w:p>
        </w:tc>
        <w:tc>
          <w:tcPr/>
          <w:p>
            <w:pPr>
              <w:pStyle w:val="Compact"/>
              <w:jc w:val="left"/>
            </w:pPr>
            <w:r>
              <w:t xml:space="preserve">gender_manager (kiểm soát)</w:t>
            </w:r>
          </w:p>
        </w:tc>
        <w:tc>
          <w:tcPr/>
          <w:p>
            <w:pPr>
              <w:pStyle w:val="Compact"/>
              <w:jc w:val="left"/>
            </w:pPr>
            <w:r>
              <w:t xml:space="preserve">two-sided; không phải trục điều tiết</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 (độ cong)</w:t>
            </w:r>
          </w:p>
        </w:tc>
        <w:tc>
          <w:tcPr/>
          <w:p>
            <w:pPr>
              <w:pStyle w:val="Compact"/>
              <w:jc w:val="left"/>
            </w:pPr>
            <w:r>
              <w:t xml:space="preserve">Institutional Theory</w:t>
            </w:r>
          </w:p>
        </w:tc>
        <w:tc>
          <w:tcPr/>
          <w:p>
            <w:pPr>
              <w:pStyle w:val="Compact"/>
              <w:jc w:val="left"/>
            </w:pPr>
            <w:r>
              <w:t xml:space="preserve">ICRV_j × FSTS, ICRV_j ×</w:t>
            </w:r>
            <w:r>
              <w:t xml:space="preserve"> </w:t>
            </w:r>
            <m:oMath>
              <m:sSup>
                <m:e>
                  <m:r>
                    <m:rPr>
                      <m:nor/>
                      <m:sty m:val="p"/>
                    </m:rPr>
                    <m:t>FSTS</m:t>
                  </m:r>
                </m:e>
                <m:sup>
                  <m:r>
                    <m:t>2</m:t>
                  </m:r>
                </m:sup>
              </m:sSup>
            </m:oMath>
          </w:p>
        </w:tc>
        <w:tc>
          <w:tcPr/>
          <w:p>
            <w:pPr>
              <w:pStyle w:val="Compact"/>
              <w:jc w:val="left"/>
            </w:pPr>
            <w:r>
              <w:t xml:space="preserve">Độ cong sâu dần theo gradient thể chế; điểm uốn không đồng nhất, không dịch chuyển đơn điệu; Nhóm VI gánh nặng bắt buộc</w:t>
            </w:r>
          </w:p>
        </w:tc>
        <w:tc>
          <w:tcPr/>
          <w:p>
            <w:pPr>
              <w:pStyle w:val="Compact"/>
              <w:jc w:val="left"/>
            </w:pPr>
            <w:r>
              <w:t xml:space="preserve">Phân tán LP tăng theo chế độ (CĐ1); phân tích đa quốc gia M10</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phân tích Việt Nam Paternoster p &lt; 0,001; phân tích Trung Quốc TCI p = 0,011</w:t>
            </w:r>
          </w:p>
        </w:tc>
      </w:tr>
    </w:tbl>
    <w:p>
      <w:pPr>
        <w:pStyle w:val="BodyText"/>
      </w:pPr>
      <w:r>
        <w:t xml:space="preserve">Hệ giả thuyết tạo thành cấu trúc logic nhất quán với bốn trục điều tiết trọng tâm và một khối kiểm soát: H1a/H1b (phi tuyến, biên tham gia vs biên cường độ) là quan hệ trọng tâm; H2 (TCI nâng mặt bằng) và H3a/H3b (DAI phụ thuộc regime, với H3c distinctiveness) phân rã cơ chế năng lực doanh nghiệp với dấu kỳ vọng khác nhau theo ngữ cảnh; H5 (ICRV độ cong) là tầng thể chế bao trùm; H6 (Thời gian) là tầng động. Khác với bốn trục điều tiết trọng tâm (TCI, DAI, ICRV, thời gian), H4a-H4c (đặc điểm nhà quản trị) được đưa vào như khối kiểm soát quản trị nội sinh nhằm khóa chặt thiên lệch nội sinh và bảo vệ tính nhân quả thuần khiết của tương tác Thể chế × Công nghệ.</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phân tích Singapore +3,119);</w:t>
      </w:r>
      <w:r>
        <w:t xml:space="preserve"> </w:t>
      </w:r>
      <m:oMath>
        <m:sSub>
          <m:e>
            <m:r>
              <m:t>β</m:t>
            </m:r>
          </m:e>
          <m:sub>
            <m:r>
              <m:t>3</m:t>
            </m:r>
          </m:sub>
        </m:sSub>
      </m:oMath>
      <w:r>
        <w:t xml:space="preserve">(DAI trực tiếp) tiến tới 0 khi kiểm soát chọn lựa (nhất quán phân tích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44a152ad15e7ef43c8f072ef92ee6e82a8e3ee1"/>
    <w:p>
      <w:pPr>
        <w:pStyle w:val="Heading5"/>
      </w:pPr>
      <w:r>
        <w:t xml:space="preserve">M5, + Khối kiểm soát quản trị nội sinh (ước lượng H4a/H4b/H4c như kiểm soát)</w:t>
      </w:r>
    </w:p>
    <w:p>
      <w:pPr>
        <w:pStyle w:val="FirstParagraph"/>
      </w:pPr>
    </w:p>
    <w:p>
      <w:pPr>
        <w:pStyle w:val="BodyText"/>
      </w:pPr>
      <w:r>
        <w:t xml:space="preserve">Mục đích: ước lượng khối kiểm soát quản trị nội sinh để kiểm tra rằng tương tác Thể chế × Công nghệ trọng tâm (M3, M4, M6, M7) vững trước khi và sau khi đưa đặc điểm nhà quản trị vào. Biến Manager gồm: exp_manager (b5, H4a), educ_manager (b7a, H4b), gender_manager (b7, H4c). Trong đặc tả trọng tâm, các biến này được đưa vào ở dạng số hạng chính (kiểm soát mức); số hạng tương tác FSTS×Manager chỉ được báo cáo như chẩn đoán phụ trợ, không phải bằng chứng điều tiết trọng tâm.</w:t>
      </w:r>
      <w:r>
        <w:t xml:space="preserve"> </w:t>
      </w:r>
      <w:r>
        <w:t xml:space="preserve">Kỳ vọng (mức kiểm soát): δ_exp &gt; 0 [H4a]; δ_educ &gt; 0 [H4b]; gender_manager báo cáo two-sided, không có kỳ vọng tiên nghiệm [H4c]. Việc đặc điểm nhà quản trị vào tập kiểm soát chứ không phải trục điều tiết giúp cô lập hiệu ứng nhân quả của tương tác Thể chế × Công nghệ và tránh</w:t>
      </w:r>
      <w:r>
        <w:t xml:space="preserve"> </w:t>
      </w:r>
      <w:r>
        <w:t xml:space="preserve">“</w:t>
      </w:r>
      <w:r>
        <w:t xml:space="preserve">Kitchen Sink Modeling</w:t>
      </w:r>
      <w:r>
        <w:t xml:space="preserve">”</w:t>
      </w:r>
      <w:r>
        <w:t xml:space="preserve">.</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độ cong (concavity / biên độ) sâu dần theo j khi chất lượng thể chế suy giảm, tức</w:t>
      </w:r>
      <w:r>
        <w:t xml:space="preserve"> </w:t>
      </w:r>
      <m:oMath>
        <m:d>
          <m:dPr>
            <m:begChr m:val="|"/>
            <m:endChr m:val="|"/>
            <m:sepChr m:val=""/>
            <m:grow/>
          </m:dPr>
          <m:e>
            <m:sSub>
              <m:e>
                <m:r>
                  <m:t>β</m:t>
                </m:r>
              </m:e>
              <m:sub>
                <m:r>
                  <m:t>2</m:t>
                </m:r>
              </m:sub>
            </m:sSub>
          </m:e>
        </m:d>
      </m:oMath>
      <w:r>
        <w:t xml:space="preserve"> </w:t>
      </w:r>
      <w:r>
        <w:t xml:space="preserve">tăng dần (Nhóm II đến VI), trong khi điểm uốn theo nhóm không dịch chuyển đơn điệu;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p>
      <w:pPr>
        <w:pStyle w:val="BodyText"/>
      </w:pPr>
      <w:r>
        <w:t xml:space="preserve">Ranh giới cấu trúc của tương tác ba chiều và Lá chắn số hai chiều. Bằng chứng pooled từ phân tích đa quốc gia (N = 82.302 ở M2 đến 98.658 ở pool, 45 nền kinh tế) cho thấy hai kết quả cần được diễn giải tách bạch, và đây là một trong những thông điệp sắc nét nhất của khung. Thứ nhất, tương tác ba chiều FSTS×DAI×ICRV cho hệ số gần như bằng không và không có ý nghĩa thống kê (β</w:t>
      </w:r>
      <w:r>
        <w:t xml:space="preserve"> </w:t>
      </w:r>
      <m:oMath>
        <m:r>
          <m:rPr>
            <m:sty m:val="p"/>
          </m:rPr>
          <m:t>≈</m:t>
        </m:r>
      </m:oMath>
      <w:r>
        <w:t xml:space="preserve"> </w:t>
      </w:r>
      <w:r>
        <w:t xml:space="preserve">−0,001). Kết quả này không phải lỗi dữ liệu hay điều cần biện hộ, mà là một ranh giới cấu trúc (structural boundary): một website tĩnh ở Tier-1 không đủ sức tái định hình hình dạng của đường cong I-P trong những thị trường có ma sát thể chế cao. Nói cách khác, đây là bằng chứng về sự lỗi thời của công nghệ số bề mặt, công nghệ Tier-1 đã trở thành tiện ích phổ cập (commodity) và mất khả năng làm đòn bẩy chiến lược cho cấu trúc lợi nhuận theo cường độ xuất khẩu. Thứ hai, và quan trọng hơn về mặt lý thuyết, tương tác hai chiều DAI×ICRV,</w:t>
      </w:r>
      <w:r>
        <w:t xml:space="preserve"> </w:t>
      </w:r>
      <w:r>
        <w:t xml:space="preserve">“</w:t>
      </w:r>
      <w:r>
        <w:t xml:space="preserve">Lá chắn số</w:t>
      </w:r>
      <w:r>
        <w:t xml:space="preserve">”</w:t>
      </w:r>
      <w:r>
        <w:t xml:space="preserve"> </w:t>
      </w:r>
      <w:r>
        <w:t xml:space="preserve">(Digital Shield), lại có ý nghĩa (p = 0,049): năng lực số nền tảng phát huy vai trò bảo vệ năng suất mạnh nhất chính ở những chế độ thể chế yếu, nơi nó bù đắp một phần khoảng trống thể chế (institutional voids) bằng cách hạ chi phí giao dịch và mở rộng tiếp cận thị trường ảo. Như vậy, DAI không định hình lại độ cong của đường cong (vai trò ba chiều null) nhưng vẫn nâng và giữ mặt bằng năng suất trong môi trường thể chế bất lợi (vai trò hai chiều có ý nghĩa). Sự đối lập giữa một null ba chiều mang tính ranh giới và một hiệu ứng hai chiều có ý nghĩa là bằng chứng trực tiếp cho luận điểm CDCM rằng DAI là nguồn lực phụ thuộc bối cảnh, không phải đòn bẩy đồng nhất.</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(kiểm soát quản trị nội sinh)</w:t>
            </w:r>
          </w:p>
        </w:tc>
        <w:tc>
          <w:tcPr/>
          <w:p>
            <w:pPr>
              <w:pStyle w:val="Compact"/>
              <w:jc w:val="left"/>
            </w:pPr>
            <w:r>
              <w:t xml:space="preserve">H4 (kiểm soát)</w:t>
            </w:r>
          </w:p>
        </w:tc>
        <w:tc>
          <w:tcPr/>
          <w:p>
            <w:pPr>
              <w:pStyle w:val="Compact"/>
              <w:jc w:val="left"/>
            </w:pPr>
            <w:r>
              <w:t xml:space="preserve">δ_exp &gt; 0; δ_educ &gt; 0; gender two-sided; kiểm tra độ vững tương tác trọng tâm, không phải điều tiết trọng tâm</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Mục 2.4.3)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SIDS Thái Bình Dương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phân tích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và một ranh giới cấu trúc có giá trị lý thuyết.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Đáng chú ý, kết quả pooled (phân tích đa quốc gia 45 nền kinh tế) cho thấy tương tác ba chiều FSTS×DAI×ICRV là null (β</w:t>
      </w:r>
      <w:r>
        <w:t xml:space="preserve"> </w:t>
      </w:r>
      <m:oMath>
        <m:r>
          <m:rPr>
            <m:sty m:val="p"/>
          </m:rPr>
          <m:t>≈</m:t>
        </m:r>
      </m:oMath>
      <w:r>
        <w:t xml:space="preserve"> </w:t>
      </w:r>
      <w:r>
        <w:t xml:space="preserve">−0,001), trong khi tương tác hai chiều DAI×ICRV (Lá chắn số) lại có ý nghĩa (p = 0,049). Đây không phải khiếm khuyết của thiết kế mà là một đóng góp định vị ranh giới: số hóa bề mặt Tier-1 không định hình lại độ cong đường cong I-P (bằng chứng về sự lỗi thời của công nghệ số bề mặt), nhưng năng lực số vẫn bảo vệ mặt bằng năng suất ở chế độ thể chế yếu. Khung do đó làm rõ ranh giới hiệu lực của DAI thay vì khuếch đại quá mức vai trò của nó.</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phân tích Việt Nam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phân tích Việt Nam và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(phân tích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90"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(phân tích Việt Nam, Singapore và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độ cong (concavity / biên độ) sâu dần khi chất lượng thể chế suy giảm, điểm uốn theo nhóm không đồng nhất (cụm quanh ~40%) và không dịch chuyển đơn điệu; H2 (TCI nâng mặt bằng) TCI dương bền vững và nhân quả; H3a (DAI Emerging/Frontier) khám phá; H3b (DAI Advanced) β(</w:t>
      </w:r>
      <m:oMath>
        <m:sSup>
          <m:e>
            <m:r>
              <m:rPr>
                <m:nor/>
                <m:sty m:val="p"/>
              </m:rPr>
              <m:t>FSTS</m:t>
            </m:r>
          </m:e>
          <m:sup>
            <m:r>
              <m:t>2</m:t>
            </m:r>
          </m:sup>
        </m:sSup>
      </m:oMath>
      <w:r>
        <w:t xml:space="preserve">×DAI) dương trong Nhóm I (phân tích Singapore xác nhận), null/phụ thuộc chọn lựa trong Nhóm IV (phân tích Việt Nam IV null); H4 (kiểm soát quản trị nội sinh) đặc điểm nhà quản trị được ước lượng như nhóm biến kiểm soát quản trị nội sinh, không phải nhân tố điều tiết trọng tâm; H5 (ICRV) độ cong sâu dần theo gradient thể chế từ Nhóm I đến Nhóm V, Nhóm VI gánh nặng bắt buộc, củng cố bởi Lá chắn số DAI×ICRV (p = 0,049); H6 (Thời gian) DAI dịch chuyển 2009 đến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fec09e3154c2a245e7c18bb44949217926836d0"/>
    <w:p>
      <w:pPr>
        <w:pStyle w:val="Heading4"/>
      </w:pPr>
      <w:r>
        <w:t xml:space="preserve">2.4.2 Hàm ý quản trị: lộ trình chiến lược ba giai đoạn</w:t>
      </w:r>
    </w:p>
    <w:p>
      <w:pPr>
        <w:pStyle w:val="FirstParagraph"/>
      </w:pPr>
      <w:r>
        <w:t xml:space="preserve">Trước khi diễn giải thành lộ trình hành động, cần đặt ngay một rủi ro vĩ mô lên đầu bàn nghị sự. Điểm uốn toàn mẫu châu Á</w:t>
      </w:r>
      <w:r>
        <w:t xml:space="preserve"> </w:t>
      </w:r>
      <m:oMath>
        <m:r>
          <m:rPr>
            <m:sty m:val="p"/>
          </m:rPr>
          <m:t>≈</m:t>
        </m:r>
      </m:oMath>
      <w:r>
        <w:t xml:space="preserve"> </w:t>
      </w:r>
      <w:r>
        <w:t xml:space="preserve">37% không phải một cột mốc trung lập mà là một cái bẫy tiềm tàng: dưới các cú sốc thể chế hoặc đứt gãy chuỗi cung ứng (chiến tranh thương mại, đại dịch, tái cấu hình nguồn cung), vùng quanh ngưỡng ~37% là nơi hình phạt sau đỉnh trở nên gay gắt nhất ở các chế độ thể chế yếu, và là nơi doanh nghiệp dễ mắc kẹt nhất khi đã đổ vốn theo cường độ nhưng chưa kịp xây năng lực lõi. Phản bác lại hoài nghi rằng ngưỡng này quá cứng nhắc: Trung Quốc duy trì một ngưỡng bền bỉ ~48% doanh thu xuất khẩu xuyên suốt cả chiến tranh thương mại lẫn đại dịch (điểm uốn 49,4% năm 2012 và 47,2% năm 2024, Paternoster p = 0,545), cho thấy ngưỡng không phải con số ngẫu nhiên mà là một thuộc tính cấu trúc bền vững của chế độ thể chế, có thể cao và ổn định khi năng lực thể chế và năng lực doanh nghiệp đủ mạnh. Điều này biến điểm uốn thành công cụ hoạch định thực sự, không phải hiện vật thống kê.</w:t>
      </w:r>
    </w:p>
    <w:p>
      <w:pPr>
        <w:pStyle w:val="BodyText"/>
      </w:pPr>
      <w:r>
        <w:t xml:space="preserve">Từ bằng chứng neo đậu, các hệ số được chuyển dịch thành một lộ trình chiến lược ba giai đoạn trên trục doanh thu xuất khẩu, áp dụng trực tiếp cho doanh nghiệp Việt Nam và emerging Asia:</w:t>
      </w:r>
    </w:p>
    <w:p>
      <w:pPr>
        <w:pStyle w:val="BodyText"/>
      </w:pPr>
      <w:r>
        <w:rPr>
          <w:bCs/>
          <w:b/>
        </w:rPr>
        <w:t xml:space="preserve">Giai đoạn 1, Vượt rào cản gia nhập (từ 0 đến FSTS dương, hấp thụ chi phí cố định).</w:t>
      </w:r>
      <w:r>
        <w:t xml:space="preserve"> </w:t>
      </w:r>
      <w:r>
        <w:t xml:space="preserve">Hành động chiến lược trọng tâm là vượt qua</w:t>
      </w:r>
      <w:r>
        <w:t xml:space="preserve"> </w:t>
      </w:r>
      <w:r>
        <w:t xml:space="preserve">“</w:t>
      </w:r>
      <w:r>
        <w:t xml:space="preserve">Vách gia nhập</w:t>
      </w:r>
      <w:r>
        <w:t xml:space="preserve">”</w:t>
      </w:r>
      <w:r>
        <w:t xml:space="preserve"> </w:t>
      </w:r>
      <w:r>
        <w:t xml:space="preserve">(H1a): chuyển từ không xuất khẩu sang có xuất khẩu mới là bậc nhảy năng suất lớn nhất, không phải việc tăng dần tỉ lệ. Doanh nghiệp nên dồn nguồn lực để hấp thụ trọn gói chi phí cố định một lần (đạt chứng nhận tiêu chuẩn quốc tế, thiết lập kênh phân phối, năng lực ngoại thương cơ bản) thay vì rải vốn theo cường độ. Tại giai đoạn này, một website Tier-1 và hạ tầng số cơ bản là điều kiện cần để hiện diện, nhưng không phải đòn bẩy lợi nhuận.</w:t>
      </w:r>
    </w:p>
    <w:p>
      <w:pPr>
        <w:pStyle w:val="BodyText"/>
      </w:pPr>
      <w:r>
        <w:rPr>
          <w:bCs/>
          <w:b/>
        </w:rPr>
        <w:t xml:space="preserve">Giai đoạn 2, Tích lũy năng lực công nghệ lõi (vùng ~30-46% doanh thu xuất khẩu).</w:t>
      </w:r>
      <w:r>
        <w:t xml:space="preserve"> </w:t>
      </w:r>
      <w:r>
        <w:t xml:space="preserve">Đây là vùng nguy hiểm bao quanh điểm uốn ~37% (và ~39-46% với Việt Nam). Khi doanh nghiệp đạt khoảng 40% doanh thu xuất khẩu, độ phức tạp vận hành đa thị trường dựng lên một bức tường vô hình: đổ thêm vốn vào website hoặc cường độ xuất khẩu thuần túy lúc này cho biên lợi nhuận âm. Chỉ năng lực công nghệ lõi thực chất (R&amp;D, ISO, công nghệ nước ngoài có bản quyền, chính là TCI nhân quả với β_IV = 1,639 ở phân tích Việt Nam) hoặc sự bảo chứng quốc tế mới phá được bức tường đó và nâng mặt bằng năng suất một cách bền vững. Thông điệp ưu tiên rõ ràng: đầu tư TCI trước, DAI sau, vì chỉ TCI là nhân quả còn DAI dương trong OLS phản ánh phụ thuộc chọn lựa (phân tích Việt Nam IV null, β = 0,018).</w:t>
      </w:r>
    </w:p>
    <w:p>
      <w:pPr>
        <w:pStyle w:val="BodyText"/>
      </w:pPr>
      <w:r>
        <w:rPr>
          <w:bCs/>
          <w:b/>
        </w:rPr>
        <w:t xml:space="preserve">Giai đoạn 3, Tích hợp số hóa chiều sâu (sau khi đã có năng lực lõi và cường độ cao).</w:t>
      </w:r>
      <w:r>
        <w:t xml:space="preserve"> </w:t>
      </w:r>
      <w:r>
        <w:t xml:space="preserve">Số hóa chỉ trở thành đòn bẩy mở rộng khi doanh nghiệp đã ở mức FSTS cao và hoạt động trong môi trường thể chế phù hợp, đúng như Singapore với DAI×</w:t>
      </w:r>
      <m:oMath>
        <m:sSup>
          <m:e>
            <m:r>
              <m:rPr>
                <m:nor/>
                <m:sty m:val="p"/>
              </m:rPr>
              <m:t>FSTS</m:t>
            </m:r>
          </m:e>
          <m:sup>
            <m:r>
              <m:t>2</m:t>
            </m:r>
          </m:sup>
        </m:sSup>
      </m:oMath>
      <w:r>
        <w:t xml:space="preserve"> </w:t>
      </w:r>
      <w:r>
        <w:t xml:space="preserve">= +3,119 ở vùng FSTS cao tiệm cận ~82%. Lưu ý chiến lược quan trọng từ ranh giới cấu trúc: số hóa bề mặt Tier-1 (website tĩnh) đã lỗi thời như đòn bẩy chiến lược (tương tác ba chiều FSTS×DAI×ICRV β</w:t>
      </w:r>
      <w:r>
        <w:t xml:space="preserve"> </w:t>
      </w:r>
      <m:oMath>
        <m:r>
          <m:rPr>
            <m:sty m:val="p"/>
          </m:rPr>
          <m:t>≈</m:t>
        </m:r>
      </m:oMath>
      <w:r>
        <w:t xml:space="preserve"> </w:t>
      </w:r>
      <w:r>
        <w:t xml:space="preserve">−0,001, không có ý nghĩa); giá trị nằm ở tích hợp số chiều sâu, không phải ở sự hiện diện số tối thiểu. Ở những chế độ thể chế yếu, vai trò hữu ích nhất của năng lực số là</w:t>
      </w:r>
      <w:r>
        <w:t xml:space="preserve"> </w:t>
      </w:r>
      <w:r>
        <w:t xml:space="preserve">“</w:t>
      </w:r>
      <w:r>
        <w:t xml:space="preserve">Lá chắn số</w:t>
      </w:r>
      <w:r>
        <w:t xml:space="preserve">”</w:t>
      </w:r>
      <w:r>
        <w:t xml:space="preserve"> </w:t>
      </w:r>
      <w:r>
        <w:t xml:space="preserve">(Digital Shield, DAI×ICRV p = 0,049): bù đắp khoảng trống thể chế để giữ mặt bằng năng suất, chứ không phải để tái định hình đường cong lợi nhuận.</w:t>
      </w:r>
    </w:p>
    <w:bookmarkEnd w:id="87"/>
    <w:bookmarkStart w:id="88" w:name="hạn-chế-nghiên-cứu"/>
    <w:p>
      <w:pPr>
        <w:pStyle w:val="Heading4"/>
      </w:pPr>
      <w:r>
        <w:t xml:space="preserve">2.4.3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phân tích Việt Nam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8"/>
    <w:bookmarkStart w:id="89" w:name="hướng-nghiên-cứu-tiếp-theo"/>
    <w:p>
      <w:pPr>
        <w:pStyle w:val="Heading4"/>
      </w:pPr>
      <w:r>
        <w:t xml:space="preserve">2.4.4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phân tích tổng hợp: Tổng quan định lượng ba tầng:</w:t>
      </w:r>
      <w:r>
        <w:t xml:space="preserve"> </w:t>
      </w:r>
      <w:r>
        <w:t xml:space="preserve">Bản thảo phân tích tổng hợp đã hoàn thành, mở rộng ICBEF 2025 baseline (Đỗ &amp; Phan, 2024, k=113) lên</w:t>
      </w:r>
      <w:r>
        <w:t xml:space="preserve"> </w:t>
      </w:r>
      <w:r>
        <w:rPr>
          <w:bCs/>
          <w:b/>
        </w:rPr>
        <w:t xml:space="preserve">k=238</w:t>
      </w:r>
      <w:r>
        <w:t xml:space="preserve"> </w:t>
      </w:r>
      <w:r>
        <w:t xml:space="preserve">(K=288 effect sizes, 45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phân tích tổng hợp trong khuôn khổ CD2: xác nhận gradient ICRV tổng thể (Q_M có ý nghĩa) nhưng không đủ k ở mỗi nhóm để xác nhận đường gradient đơn điệu E1a/E1b.</w:t>
      </w:r>
    </w:p>
    <w:p>
      <w:pPr>
        <w:pStyle w:val="BodyText"/>
      </w:pPr>
      <w:r>
        <w:rPr>
          <w:bCs/>
          <w:b/>
        </w:rPr>
        <w:t xml:space="preserve">Hướng 2, phân tích đa quốc gia: Kiểm định H1-H6 toàn pool 45 nền kinh tế:</w:t>
      </w:r>
      <w:r>
        <w:t xml:space="preserve"> </w:t>
      </w:r>
      <w:r>
        <w:t xml:space="preserve">phân tích đa quốc gia đã hoàn thành, N = 82.302 (M2) đến 98.658 (pool) doanh nghiệp, 45 nền kinh tế châu Á và Thái Bình Dương, 98 country-year waves, 6 nhóm ICRV. Kết quả xác nhận: H1 (phi tuyến) điểm uốn toàn mẫu</w:t>
      </w:r>
      <w:r>
        <w:t xml:space="preserve"> </w:t>
      </w:r>
      <m:oMath>
        <m:r>
          <m:rPr>
            <m:sty m:val="p"/>
          </m:rPr>
          <m:t>≈</m:t>
        </m:r>
      </m:oMath>
      <w:r>
        <w:t xml:space="preserve"> </w:t>
      </w:r>
      <w:r>
        <w:t xml:space="preserve">37%; H2 TCI level effect β</w:t>
      </w:r>
      <w:r>
        <w:t xml:space="preserve"> </w:t>
      </w:r>
      <m:oMath>
        <m:r>
          <m:rPr>
            <m:sty m:val="p"/>
          </m:rPr>
          <m:t>≈</m:t>
        </m:r>
      </m:oMath>
      <w:r>
        <w:t xml:space="preserve"> </w:t>
      </w:r>
      <w:r>
        <w:t xml:space="preserve">+0,344 (p &lt; 0,05); H3 DAI universal level effect β = +0,155 (p &lt; 0,001) cùng cả hai số hạng tương tác độ cong; H5 ICRV điều tiết theo dạng độ cong (concavity / biên độ): hình chữ U ngược cong sâu hơn ở SIDS/Frontier và phẳng dần về gần tuyến tính ở Advanced Innovation, điểm uốn theo nhóm không đồng nhất và không dịch chuyển đơn điệu (tương tác M10 có ý nghĩa: FSTS×ICRV β = +1,85,</w:t>
      </w:r>
      <w:r>
        <w:t xml:space="preserve"> </w:t>
      </w:r>
      <m:oMath>
        <m:sSup>
          <m:e>
            <m:r>
              <m:rPr>
                <m:nor/>
                <m:sty m:val="p"/>
              </m:rPr>
              <m:t>FSTS</m:t>
            </m:r>
          </m:e>
          <m:sup>
            <m:r>
              <m:t>2</m:t>
            </m:r>
          </m:sup>
        </m:sSup>
      </m:oMath>
      <w:r>
        <w:t xml:space="preserve">×ICRV β = −2,93). Lá chắn số (Digital Shield) hai chiều DAI×ICRV có ý nghĩa (p = 0,049), mạnh nhất khi thể chế yếu; tương tác ba chiều FSTS×DAI×ICRV (β</w:t>
      </w:r>
      <w:r>
        <w:t xml:space="preserve"> </w:t>
      </w:r>
      <m:oMath>
        <m:r>
          <m:rPr>
            <m:sty m:val="p"/>
          </m:rPr>
          <m:t>≈</m:t>
        </m:r>
      </m:oMath>
      <w:r>
        <w:t xml:space="preserve"> </w:t>
      </w:r>
      <w:r>
        <w:t xml:space="preserve">−0,001, không có ý nghĩa) cho thấy một ranh giới cấu trúc: số hóa bề mặt Tier-1 không định hình lại được hình dạng đường cong I-P. phân tích Việt Nam (Nhóm IV), phân tích Singapore (Nhóm I), phân tích Trung Quốc (Nhóm III) cung cấp neo đậu cross-context đã được xác nhận bởi kết quả pooled 45 nền kinh tế.</w:t>
      </w:r>
    </w:p>
    <w:p>
      <w:pPr>
        <w:pStyle w:val="BodyText"/>
      </w:pPr>
      <w:r>
        <w:rPr>
          <w:bCs/>
          <w:b/>
        </w:rPr>
        <w:t xml:space="preserve">Hướng 3, phân tích SIDS Thái Bình Dương: SIDS Thái Bình Dương, gánh nặng bắt buộc:</w:t>
      </w:r>
      <w:r>
        <w:t xml:space="preserve"> </w:t>
      </w:r>
      <w:r>
        <w:t xml:space="preserve">phân tích SIDS Thái Bình Dương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bắt buộc (Briguglio, 1995; Bertram, 2006). Khoảng trống H1b trong CD2 đã được lấp đầy bởi phân tích SIDS Thái Bình Dương.</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9"/>
    <w:bookmarkEnd w:id="90"/>
    <w:bookmarkEnd w:id="91"/>
    <w:bookmarkStart w:id="92"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2"/>
    <w:bookmarkStart w:id="97" w:name="phụ-lục"/>
    <w:p>
      <w:pPr>
        <w:pStyle w:val="Heading2"/>
      </w:pPr>
      <w:r>
        <w:t xml:space="preserve">PHỤ LỤC</w:t>
      </w:r>
    </w:p>
    <w:bookmarkStart w:id="93"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SIDS Thái Bình Dương dùng bộ lọc WBES SIDS_small gồm 9 nước, bổ sung thêm Comoros và Timor-Leste.)</w:t>
      </w:r>
    </w:p>
    <w:p>
      <w:pPr>
        <w:pStyle w:val="BodyText"/>
      </w:pPr>
      <w:r>
        <w:t xml:space="preserve">Tổng: 5 + 5 + 6 + 7 + 17 + 7 = 47 nền kinh tế.</w:t>
      </w:r>
    </w:p>
    <w:bookmarkEnd w:id="93"/>
    <w:bookmarkStart w:id="94" w:name="Xbad1bc84f3d3d9be9a613f7519fe2cb13fab848"/>
    <w:p>
      <w:pPr>
        <w:pStyle w:val="Heading3"/>
      </w:pPr>
      <w:r>
        <w:t xml:space="preserve">Phụ lục B, Tóm tắt ba phân tích quốc gia thành phần</w:t>
      </w:r>
    </w:p>
    <w:p>
      <w:pPr>
        <w:pStyle w:val="FirstParagraph"/>
      </w:pPr>
      <w:r>
        <w:t xml:space="preserve">Phân tích Việt Nam: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Phân tích Singapore: 623 doanh nghiệp WBES 2023. Kết quả chính: đường cong I-P chủ yếu dương; điểm uốn hàm ý ~82% (vùng thưa dữ liệu; Lind-Mehlum p = 0,303); DAI×</w:t>
      </w:r>
      <m:oMath>
        <m:sSup>
          <m:e>
            <m:r>
              <m:rPr>
                <m:nor/>
                <m:sty m:val="p"/>
              </m:rPr>
              <m:t>FSTS</m:t>
            </m:r>
          </m:e>
          <m:sup>
            <m:r>
              <m:t>2</m:t>
            </m:r>
          </m:sup>
        </m:sSup>
      </m:oMath>
      <w:r>
        <w:t xml:space="preserve"> </w:t>
      </w:r>
      <w:r>
        <w:t xml:space="preserve">= +3,119 (p = 0,005), DAI là nguồn lực mở rộng tình huống; TCI β = 0,153.</w:t>
      </w:r>
    </w:p>
    <w:p>
      <w:pPr>
        <w:pStyle w:val="BodyText"/>
      </w:pPr>
      <w:r>
        <w:t xml:space="preserve">Phân tích Trung Quốc: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4"/>
    <w:bookmarkStart w:id="95"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5"/>
    <w:bookmarkStart w:id="96"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6"/>
    <w:bookmarkEnd w:id="97"/>
    <w:bookmarkEnd w:id="9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2026-05-26T18:09:25Z</dcterms:created>
  <dcterms:modified xsi:type="dcterms:W3CDTF">2026-05-26T18:09:25Z</dcterms:modified>
</cp:coreProperties>
</file>

<file path=docProps/custom.xml><?xml version="1.0" encoding="utf-8"?>
<Properties xmlns="http://schemas.openxmlformats.org/officeDocument/2006/custom-properties" xmlns:vt="http://schemas.openxmlformats.org/officeDocument/2006/docPropsVTypes"/>
</file>