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(phân tích tổng hợp,</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 phẳng, gần như tuyến tính ở nhóm tiên tiến và rõ nét nhất (hình chữ U ngược) ở nhóm đảo nhỏ và cận biên —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w:t>
      </w:r>
      <w:r>
        <w:t xml:space="preserve"> </w:t>
      </w:r>
      <w:r>
        <w:rPr>
          <w:bCs/>
          <w:b/>
        </w:rPr>
        <w:t xml:space="preserve">suy giảm khoảng 53%</w:t>
      </w:r>
      <w:r>
        <w:t xml:space="preserve"> </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phân tích Việt Nam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phân tích Việt Nam cho thấy DAI Tier-1 đơn thuần không có tác động đáng kể, nhưng bằng chứng từ phân tích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2026-05-26T18:07:18Z</dcterms:created>
  <dcterms:modified xsi:type="dcterms:W3CDTF">2026-05-26T18:07:18Z</dcterms:modified>
</cp:coreProperties>
</file>

<file path=docProps/custom.xml><?xml version="1.0" encoding="utf-8"?>
<Properties xmlns="http://schemas.openxmlformats.org/officeDocument/2006/custom-properties" xmlns:vt="http://schemas.openxmlformats.org/officeDocument/2006/docPropsVTypes"/>
</file>