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2"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band that stays durable over 14 years. The nonlinearity traces to a participation-margin effect: restricted to exporters, the quadratic term loses significance. TCI positively moderates productivity and the I–P curvature across waves, while the website indicator follows a proxy-obsolescence trajectory: positive in 2009, null in 2015, negatively interactive in 2023.</w:t>
      </w:r>
    </w:p>
    <w:p>
      <w:pPr>
        <w:pStyle w:val="BodyText"/>
      </w:pPr>
      <w:r>
        <w:t xml:space="preserve">Originality/value — In this zero-inflated setting the inverted-U reflects a participation-barrier effect rather than intensity saturation, and pooled Tier-1 coefficients mask progressive proxy obsolescence. Because the turning-point cluster (39–46% FSTS) is institutionally embedded, the debate moves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2"/>
    <w:bookmarkStart w:id="23"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3"/>
    <w:bookmarkStart w:id="28" w:name="introduction"/>
    <w:p>
      <w:pPr>
        <w:pStyle w:val="Heading2"/>
      </w:pPr>
      <w:r>
        <w:t xml:space="preserve">1. Introduction</w:t>
      </w:r>
    </w:p>
    <w:bookmarkStart w:id="24"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 Digital tools can cut communication frictions, speed transactions, and support cross-border coordination, but the benefits do not arrive automatically. Their realised value depends on whether a firm holds the organisational depth, absorptive capacity, and complementary routines needed to convert 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 an</w:t>
      </w:r>
      <w:r>
        <w:t xml:space="preserve"> </w:t>
      </w:r>
      <w:r>
        <w:rPr>
          <w:iCs/>
          <w:i/>
        </w:rPr>
        <w:t xml:space="preserve">Export Cliff Effect</w:t>
      </w:r>
      <w:r>
        <w:t xml:space="preserve"> </w:t>
      </w:r>
      <w:r>
        <w:t xml:space="preserve">— 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4"/>
    <w:bookmarkStart w:id="25" w:name="research-gap"/>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5"/>
    <w:bookmarkStart w:id="26" w:name="contribution"/>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 which helps explain how pooled average effects coexist with substantial wave-specific differences.</w:t>
      </w:r>
    </w:p>
    <w:p>
      <w:pPr>
        <w:pStyle w:val="BodyText"/>
      </w:pPr>
      <w:r>
        <w:t xml:space="preserve">The final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6"/>
    <w:bookmarkStart w:id="27" w:name="roadmap"/>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7"/>
    <w:bookmarkEnd w:id="28"/>
    <w:bookmarkStart w:id="36" w:name="theory-and-hypotheses"/>
    <w:p>
      <w:pPr>
        <w:pStyle w:val="Heading2"/>
      </w:pPr>
      <w:r>
        <w:t xml:space="preserve">2. Theory and hypotheses</w:t>
      </w:r>
    </w:p>
    <w:bookmarkStart w:id="29" w:name="X3b7d35b763b13aa013dc5c38abee688672fbd10"/>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9"/>
    <w:bookmarkStart w:id="30"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0"/>
    <w:bookmarkStart w:id="31" w:name="Xc172df63165a200a03f115512b27dddb3cfd513"/>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 a</w:t>
      </w:r>
      <w:r>
        <w:t xml:space="preserve"> </w:t>
      </w:r>
      <w:r>
        <w:rPr>
          <w:iCs/>
          <w:i/>
        </w:rPr>
        <w:t xml:space="preserve">digital saturation</w:t>
      </w:r>
      <w:r>
        <w:t xml:space="preserve"> </w:t>
      </w:r>
      <w:r>
        <w:t xml:space="preserve">in which near-universal Tier-1 presence loses discriminating power — rather than a marker of digital strategy. This is a substantive finding in its own right: basic website adoption has decayed from a candidate RBV advantage into a baseline hygiene condition.</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1"/>
    <w:bookmarkStart w:id="35"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CaptionedFigure"/>
      </w:pPr>
      <w:r>
        <w:drawing>
          <wp:inline>
            <wp:extent cx="5753100" cy="3160501"/>
            <wp:effectExtent b="0" l="0" r="0" t="0"/>
            <wp:docPr descr="Figure 1: Conceptual model — TCI, DAI, and export intensity as determinants of firm performance (Vietnam, 3-wave)"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5"/>
    <w:bookmarkEnd w:id="36"/>
    <w:bookmarkStart w:id="42" w:name="data-variables-and-empirical-strategy"/>
    <w:p>
      <w:pPr>
        <w:pStyle w:val="Heading2"/>
      </w:pPr>
      <w:r>
        <w:t xml:space="preserve">3. Data, variables, and empirical strategy</w:t>
      </w:r>
    </w:p>
    <w:bookmarkStart w:id="37"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7"/>
    <w:bookmarkStart w:id="38"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8"/>
    <w:bookmarkStart w:id="39" w:name="model-sequence"/>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9"/>
    <w:bookmarkStart w:id="40" w:name="identification-and-endogeneity-strategy"/>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0"/>
    <w:bookmarkStart w:id="41" w:name="replication-and-reproducibility"/>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1"/>
    <w:bookmarkEnd w:id="42"/>
    <w:bookmarkStart w:id="64"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w:t>
      </w:r>
      <w:r>
        <w:t xml:space="preserve">— instead, the instrument has lost its discriminatory power as Tier 1 adoption has diffused to near-universal levels (49.8% in 2023 vs 42.5% in 2009). The DAI_rich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to 0.128 to 0.123) but with moderation</w:t>
      </w:r>
    </w:p>
    <w:p>
      <w:pPr>
        <w:pStyle w:val="BodyText"/>
      </w:pPr>
      <w:r>
        <w:t xml:space="preserve">that survives in the 2009, 2023 and pooled panels. Website-based digital presence follows a nonmonotonic trajectory —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 and its moderation channel materialises only in 2023.</w:t>
      </w:r>
      <w:r>
        <w:t xml:space="preserve"> </w:t>
      </w:r>
      <w:r>
        <w:t xml:space="preserve">The Paternoster cross-wave z-tests reported in Section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3"/>
    <w:bookmarkStart w:id="56" w:name="pooled-findings"/>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**Turning point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753100" cy="3835399"/>
            <wp:effectExtent b="0" l="0" r="0" t="0"/>
            <wp:docPr descr="Figure 2a: Wave 2009 — predicted ln(labour productivity) vs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5753100" cy="3835399"/>
            <wp:effectExtent b="0" l="0" r="0" t="0"/>
            <wp:docPr descr="Figure 2b: Wave 2015 — predicted ln(labour productivity) vs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5753100" cy="3835399"/>
            <wp:effectExtent b="0" l="0" r="0" t="0"/>
            <wp:docPr descr="Figure 2c: Wave 2023 — predicted ln(labour productivity) vs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5753100" cy="3835399"/>
            <wp:effectExtent b="0" l="0" r="0" t="0"/>
            <wp:docPr descr="Figure 2d: Pooled (2009+2015+2023) — predicted ln(labour productivity) vs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6"/>
    <w:bookmarkStart w:id="60"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(Section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CaptionedFigure"/>
      </w:pPr>
      <w:r>
        <w:drawing>
          <wp:inline>
            <wp:extent cx="5753100" cy="2401293"/>
            <wp:effectExtent b="0" l="0" r="0" t="0"/>
            <wp:docPr descr="Figure 3: Moderator marginal effects — TCI and DAI interactions with FSTS (Viet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0"/>
    <w:bookmarkStart w:id="61"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1"/>
    <w:bookmarkStart w:id="6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2"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to 0.61; FSTSc2 −2.21 to −1.17; No sign change; focal findTCI 0.14 to 0.19; DAI 0.07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2"/>
    <w:bookmarkEnd w:id="63"/>
    <w:bookmarkEnd w:id="64"/>
    <w:bookmarkStart w:id="70" w:name="discussion"/>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 a structure that pooling exporters and non-exporters in cross-country meta-analyses tends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5" w:name="X45b04fa3b40d11388c7a41a1d622c5668243784"/>
    <w:p>
      <w:pPr>
        <w:pStyle w:val="Heading3"/>
      </w:pPr>
      <w:r>
        <w:t xml:space="preserve">5.1 Reinterpreting the baseline website-presence indicator in Vietnam</w:t>
      </w:r>
    </w:p>
    <w:p>
      <w:pPr>
        <w:pStyle w:val="FirstParagraph"/>
      </w:pPr>
      <w:r>
        <w:t xml:space="preserve">The descriptive DAI_z findings carry one central implication: baseline website presence in Vietnam should</w:t>
      </w:r>
      <w:r>
        <w:t xml:space="preserve"> </w:t>
      </w:r>
      <w:r>
        <w:t xml:space="preserve">not be read as a universal, temporally stable productivity premium, nor as evidence on dynamic digital capability. TCI_z and DAI_z 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 as seen in repeated cross-sectional snapshots rather than within-firm longitudinal records.</w:t>
      </w:r>
    </w:p>
    <w:bookmarkEnd w:id="65"/>
    <w:bookmarkStart w:id="66"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6"/>
    <w:bookmarkStart w:id="67" w:name="the-significance-of-the-2015-dip"/>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read not as an anomaly, but as a wave-specific compression of</w:t>
      </w:r>
      <w:r>
        <w:t xml:space="preserve"> </w:t>
      </w:r>
      <w:r>
        <w:t xml:space="preserve">the foundational digital-adoption channel under transitional infrastructure conditions. Even where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7"/>
    <w:bookmarkStart w:id="68"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8"/>
    <w:bookmarkStart w:id="69" w:name="policy-implications"/>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9"/>
    <w:bookmarkEnd w:id="70"/>
    <w:bookmarkStart w:id="71" w:name="limitations-and-future-research"/>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71"/>
    <w:bookmarkStart w:id="72" w:name="conclusion"/>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 critically —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 coordination capacity, contract enforcement, and trade-finance access —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72"/>
    <w:bookmarkStart w:id="73" w:name="conflict-of-interest"/>
    <w:p>
      <w:pPr>
        <w:pStyle w:val="Heading2"/>
      </w:pPr>
      <w:r>
        <w:t xml:space="preserve">Conflict of interest</w:t>
      </w:r>
    </w:p>
    <w:p>
      <w:pPr>
        <w:pStyle w:val="FirstParagraph"/>
      </w:pPr>
      <w:r>
        <w:t xml:space="preserve">The authors declare no conflict of interest.</w:t>
      </w:r>
    </w:p>
    <w:bookmarkEnd w:id="73"/>
    <w:bookmarkStart w:id="74"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4"/>
    <w:bookmarkStart w:id="75"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6"/>
    <w:bookmarkStart w:id="7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2026-05-26T18:08:12Z</dcterms:created>
  <dcterms:modified xsi:type="dcterms:W3CDTF">2026-05-26T18:08:12Z</dcterms:modified>
</cp:coreProperties>
</file>

<file path=docProps/custom.xml><?xml version="1.0" encoding="utf-8"?>
<Properties xmlns="http://schemas.openxmlformats.org/officeDocument/2006/custom-properties" xmlns:vt="http://schemas.openxmlformats.org/officeDocument/2006/docPropsVTypes"/>
</file>