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8"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Singapore offers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Within the observed export-intensity range, the I–P relationship is better characterized as predominantly positive with mild quadratic curvature than as an inverted-U, and the implied turning point lies in a sparsely populated upper tail. Technological capability is positively associated with labour productivity. No TCI moderation of the I–P curve is detected, however. Foundational digital adoption tells a more conditional story: it does not produce a uniform productivity premium, and its productivity association becomes more positive only at higher export intensity, with the clearest signal in the high-export tail. This pattern suggests that foundational digital adoption operates as a contingent scaling resource whose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Much of this literature, however, was developed in pre-digital or transitional-digital settings, where institutional and infrastructural conditions differ substantially from those of digitally advanced economies (Peng 2003; Peng et al. 2008). It may therefore not fully capture how the I–P curve behaves once firms operate in a digitally advanced institutional environment. The conditions that make Singapore distinctive are well documented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The Smart Nation 2.0 initiative (launched 2024) goes further, formalizing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near-universal Tier 1–2 diffusion is itself enabled by Singapore’s nationally deployed Digital Public Infrastructure (digital identity systems, payment rails, and data-exchange platforms), which the World Bank (2025a) identifies as the foundational enabling layer for firm-level digital adoption in advanced economies. The sample bears this out. Among Singapore firms, 82% report zero exports, while only 3% exceed 50% foreign sales to total sales, a striking domestic orientation despite the economy’s mature digital infrastructure. The productivity returns to foundational digital adoption should not, therefore, be expected to manifest uniformly across sampled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r>
        <w:t xml:space="preserve"> </w:t>
      </w:r>
      <w:r>
        <w:t xml:space="preserve">### 1.3 Contribution</w:t>
      </w:r>
      <w:r>
        <w:t xml:space="preserve"> </w:t>
      </w: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Section 4.5 R1 indicator-sensitivity diagnostic further clarifies that the Tier-1+2 composition of DAI, which combines website presence with two-way electronic-payment intensity,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Section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this study names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it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it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978568"/>
            <wp:effectExtent b="0" l="0" r="0" t="0"/>
            <wp:docPr descr="Figure 1: Conceptual model —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 FSTS²_c), is placed at left, and the dependent variable, ln(labour productivity), is placed at right. H1 (inverted-U tendency with support-constrained turning point ~82% FSTS, bootstrap CI [53%, 253%]) is grounded in coordination-cost theory (Hitt et al., 1997); the right-side decline is not formally identified within the observed FSTS range, a theoretically informative result under the saturation framework (Lind–Mehlum p = .303). H1-TCI: technological capability (TCI_z, RBV: Barney, 1991) enters as a direct level-shift to firm performance. H2: DAI (Tier-1+2: website + e-payment) exhibits a non-uniform positive direct effect that varies across export intensity. H3: DAI amplifies the internationalisation-to-performance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the H3 amplification test is conducted on the exporters-only subsample (n ≈ 84; power ≈ 16%), and provides a corroborating signal rather than independent identification. ICRV context: Singapore, Advanced I. Data: WBES 2023; N = 623.</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Section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Section 3.4 below for transparency, but is not treated as the primary specification. The associational nature of the OLS estimates is therefore acknowledged upfront, and inferential claims are bounded to within-context associations rather than causal effects.</w:t>
      </w:r>
    </w:p>
    <w:bookmarkEnd w:id="26"/>
    <w:bookmarkStart w:id="27"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Section 4 results can be presented without recurrent caveats and the Section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Section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Section 3.4(i) sample-support boundary establishes is absent here. Read against the saturation hypothesis developed in Section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Section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Section 4 results below are reported on this consolidated identification scope, and Section 5 interprets the substantive findings without further re-litigation of these boundary conditions.</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where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which is consistent with the digital saturation paradox outlined in the introduction. Their measurable return surfaces only when the scaling demands of high export intensity justify intensive use of digital interfaces and transaction systems. The scale of Singapore’s innovation ecosystem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confirms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Section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for which no instrument satisfying the exclusion restriction is available in the single-wave Singapore design, and the Section 4.5 (ii) Heckman sensitivity diagnostic indicates mild but non-eliminating extensive-margin selection. Read together, the evidence supports amplification as the focal mechanism while retaining selection as a bounded residual concern, in line with the Section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The Section 4.5 R1 specification makes this clear: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website presence (c22b) combined with electronic payment integration (k33/k38) embedded in the public digital infrastructure, enabling firms to execute frictionless cross-border transactions. In contrast, in transitional economies where Tier-2 payment infrastructure remains institutionally bounded (settings where cross-border electronic-payment rails reached systemic scale only in the late 2010s, as documented across lower-middle-income Asia in World Bank digital infrastructure assessments (World Bank, 2023)),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2026-05-26T18:08:27Z</dcterms:created>
  <dcterms:modified xsi:type="dcterms:W3CDTF">2026-05-26T18:08:27Z</dcterms:modified>
</cp:coreProperties>
</file>

<file path=docProps/custom.xml><?xml version="1.0" encoding="utf-8"?>
<Properties xmlns="http://schemas.openxmlformats.org/officeDocument/2006/custom-properties" xmlns:vt="http://schemas.openxmlformats.org/officeDocument/2006/docPropsVTypes"/>
</file>