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phương-pháp-nghiên-cứu"/>
    <w:p>
      <w:pPr>
        <w:pStyle w:val="Heading1"/>
      </w:pPr>
      <w:r>
        <w:t xml:space="preserve">Phương pháp nghiên cứu</w:t>
      </w:r>
    </w:p>
    <w:p>
      <w:pPr>
        <w:pStyle w:val="FirstParagraph"/>
      </w:pPr>
      <w:r>
        <w:t xml:space="preserve">File này trình bày thiết kế nghiên cứu, nguồn dữ liệu, đo lường biến, mô hình phân tích và kiểm định độ vững. Mỗi thành phần đều được giải thích theo hai loại cơ sở:</w:t>
      </w:r>
    </w:p>
    <w:p>
      <w:pPr>
        <w:numPr>
          <w:ilvl w:val="0"/>
          <w:numId w:val="1001"/>
        </w:numPr>
        <w:pStyle w:val="Compact"/>
      </w:pPr>
      <w:r>
        <w:rPr>
          <w:bCs/>
          <w:b/>
        </w:rPr>
        <w:t xml:space="preserve">Cơ sở kế thừa</w:t>
      </w:r>
      <w:r>
        <w:t xml:space="preserve">: phương pháp đã được công nhận trong tài liệu nghiên cứu, kèm trích dẫn theo chuẩn APA 7th.</w:t>
      </w:r>
    </w:p>
    <w:p>
      <w:pPr>
        <w:numPr>
          <w:ilvl w:val="0"/>
          <w:numId w:val="1001"/>
        </w:numPr>
        <w:pStyle w:val="Compact"/>
      </w:pPr>
      <w:r>
        <w:rPr>
          <w:bCs/>
          <w:b/>
        </w:rPr>
        <w:t xml:space="preserve">Đóng góp mới/điều chỉnh</w:t>
      </w:r>
      <w:r>
        <w:t xml:space="preserve">: những điểm mà luận án này cải tiến hoặc tổ chức lại, kèm lập luận rõ ràng.</w:t>
      </w:r>
    </w:p>
    <w:bookmarkStart w:id="22" w:name="thiết-kế-nghiên-cứu-tổng-thể"/>
    <w:p>
      <w:pPr>
        <w:pStyle w:val="Heading2"/>
      </w:pPr>
      <w:r>
        <w:t xml:space="preserve">1. Thiết kế nghiên cứu tổng thể</w:t>
      </w:r>
    </w:p>
    <w:bookmarkStart w:id="20" w:name="loại-thiết-kế"/>
    <w:p>
      <w:pPr>
        <w:pStyle w:val="Heading3"/>
      </w:pPr>
      <w:r>
        <w:t xml:space="preserve">1.1 Loại thiết kế</w:t>
      </w:r>
    </w:p>
    <w:p>
      <w:pPr>
        <w:pStyle w:val="FirstParagraph"/>
      </w:pPr>
      <w:r>
        <w:t xml:space="preserve">Luận án này sử dụng</w:t>
      </w:r>
      <w:r>
        <w:t xml:space="preserve"> </w:t>
      </w:r>
      <w:r>
        <w:rPr>
          <w:bCs/>
          <w:b/>
        </w:rPr>
        <w:t xml:space="preserve">thiết kế hỗn hợp tổng hợp-thực nghiệm</w:t>
      </w:r>
      <w:r>
        <w:t xml:space="preserve"> </w:t>
      </w:r>
      <w:r>
        <w:t xml:space="preserve">(mixed synthesis-empirical design) gồm hai giai đoạn bổ sung cho nhau. Giai đoạn thứ nhất là phân tích tổng hợp tài liệu nghiên cứu nhằm trả lời câu hỏi nghiên cứu RQ1; giai đoạn thứ hai là phân tích thực nghiệm doanh nghiệp đa quốc gia nhằm trả lời RQ2–RQ4. Hai giai đoạn này đối thoại theo hai chiều: phân tích tổng hợp cung cấp mức tham chiếu và gợi ý các yếu tố điều tiết cần kiểm định, còn phân tích thực nghiệm cung cấp bằng chứng bổ sung cho phần tổng hợp ở bối cảnh châu Á và Thái Bình Dương.</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Việc áp dụng thiết kế hỗn hợp cho một luận án duy nhất về quan hệ giữa quốc tế hóa và hiệu quả hoạt động trong bối cảnh châu Á và Thái Bình Dương với</w:t>
      </w:r>
      <w:r>
        <w:t xml:space="preserve"> </w:t>
      </w:r>
      <w:r>
        <w:rPr>
          <w:bCs/>
          <w:b/>
        </w:rPr>
        <w:t xml:space="preserve">47 nền kinh tế</w:t>
      </w:r>
      <w:r>
        <w:t xml:space="preserve"> </w:t>
      </w:r>
      <w:r>
        <w:t xml:space="preserve">là một thiết kế hiếm gặp; phần lớn các luận án kinh doanh quốc tế chỉ thực hiện một trong hai giai đoạn. Quy mô 47 nước/101.185 doanh nghiệp là phạm vi địa lý lớn nhất từng có cho khu vực, mở rộng từ tập 17 nước trong Đỗ và Phan (2026 — VEFR).</w:t>
      </w:r>
    </w:p>
    <w:bookmarkEnd w:id="20"/>
    <w:bookmarkStart w:id="21" w:name="quy-trình-nghiên-cứu"/>
    <w:p>
      <w:pPr>
        <w:pStyle w:val="Heading3"/>
      </w:pPr>
      <w:r>
        <w:t xml:space="preserve">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giai đoạn 1982–2026; (iv) thu thập và chuẩn hóa dữ liệu WBES cho</w:t>
      </w:r>
      <w:r>
        <w:t xml:space="preserve"> </w:t>
      </w:r>
      <w:r>
        <w:rPr>
          <w:bCs/>
          <w:b/>
        </w:rPr>
        <w:t xml:space="preserve">47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phase-1-meta-analysis-19822026"/>
    <w:p>
      <w:pPr>
        <w:pStyle w:val="Heading2"/>
      </w:pPr>
      <w:r>
        <w:t xml:space="preserve">2. Phase 1: Meta-analysis 1982–2026</w:t>
      </w:r>
    </w:p>
    <w:bookmarkStart w:id="23" w:name="cơ-sở-kế-thừa"/>
    <w:p>
      <w:pPr>
        <w:pStyle w:val="Heading3"/>
      </w:pPr>
      <w:r>
        <w:t xml:space="preserve">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đóng-góp-mớiđiều-chỉnh"/>
    <w:p>
      <w:pPr>
        <w:pStyle w:val="Heading3"/>
      </w:pPr>
      <w:r>
        <w:t xml:space="preserve">2.2 Đóng góp mới/điều chỉnh</w:t>
      </w:r>
    </w:p>
    <w:p>
      <w:pPr>
        <w:numPr>
          <w:ilvl w:val="0"/>
          <w:numId w:val="1002"/>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2"/>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2"/>
        </w:numPr>
        <w:pStyle w:val="Compact"/>
      </w:pPr>
      <w:r>
        <w:rPr>
          <w:bCs/>
          <w:b/>
        </w:rPr>
        <w:t xml:space="preserve">Pool hiện tại</w:t>
      </w:r>
      <w:r>
        <w:t xml:space="preserve">: K=288 effect sizes / k=238 nghiên cứu (baseline trước WoS+Scopus formal search); mục tiêu sau formal search: k≥250, tăng so với bản nền ICBEF 2025 (K=200 / k=113).</w:t>
      </w:r>
    </w:p>
    <w:p>
      <w:pPr>
        <w:numPr>
          <w:ilvl w:val="0"/>
          <w:numId w:val="1002"/>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quy-trình-prisma"/>
    <w:p>
      <w:pPr>
        <w:pStyle w:val="Heading3"/>
      </w:pPr>
      <w:r>
        <w:t xml:space="preserve">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phase-2-multi-country-empirical-analysis"/>
    <w:p>
      <w:pPr>
        <w:pStyle w:val="Heading2"/>
      </w:pPr>
      <w:r>
        <w:t xml:space="preserve">3. Phase 2: Multi-country empirical analysis</w:t>
      </w:r>
    </w:p>
    <w:bookmarkStart w:id="27" w:name="nguồn-dữ-liệu"/>
    <w:p>
      <w:pPr>
        <w:pStyle w:val="Heading3"/>
      </w:pPr>
      <w:r>
        <w:t xml:space="preserve">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(Đỗ &amp; Phan, 2026 — phân tích SIDS Thái Bình Dương manuscript).</w:t>
      </w:r>
    </w:p>
    <w:bookmarkEnd w:id="27"/>
    <w:bookmarkStart w:id="28" w:name="Xbff20786659f3471473d6f5f9041e850d60d8e2"/>
    <w:p>
      <w:pPr>
        <w:pStyle w:val="Heading3"/>
      </w:pPr>
      <w:r>
        <w:t xml:space="preserve">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đo-lường-biến-độc-lập-quốc-tế-hóa"/>
    <w:p>
      <w:pPr>
        <w:pStyle w:val="Heading3"/>
      </w:pPr>
      <w:r>
        <w:t xml:space="preserve">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3" w:name="đo-lường-biến-điều-tiết"/>
    <w:p>
      <w:pPr>
        <w:pStyle w:val="Heading3"/>
      </w:pPr>
      <w:r>
        <w:t xml:space="preserve">3.4 Đo lường biến điều tiết</w:t>
      </w:r>
    </w:p>
    <w:bookmarkStart w:id="30" w:name="digital-constructs-tci-và-dai"/>
    <w:p>
      <w:pPr>
        <w:pStyle w:val="Heading4"/>
      </w:pPr>
      <w:r>
        <w:t xml:space="preserve">3.4.1 Digital constructs (TCI và DAI)</w:t>
      </w:r>
    </w:p>
    <w:p>
      <w:pPr>
        <w:pStyle w:val="FirstParagraph"/>
      </w:pPr>
      <w:r>
        <w:t xml:space="preserve">Luận án phân biệt rõ hai construct:</w:t>
      </w:r>
    </w:p>
    <w:p>
      <w:pPr>
        <w:numPr>
          <w:ilvl w:val="0"/>
          <w:numId w:val="1003"/>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3"/>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institutional-variables"/>
    <w:p>
      <w:pPr>
        <w:pStyle w:val="Heading4"/>
      </w:pPr>
      <w:r>
        <w:t xml:space="preserve">3.4.2 Institutional variables</w:t>
      </w:r>
    </w:p>
    <w:p>
      <w:pPr>
        <w:pStyle w:val="FirstParagraph"/>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X4d377de0a7370556b1183b0b745f7a8759688bb"/>
    <w:p>
      <w:pPr>
        <w:pStyle w:val="Heading4"/>
      </w:pPr>
      <w:r>
        <w:t xml:space="preserve">3.4.3 Top manager characteristics (kiểm soát quản trị nội sinh H4)</w:t>
      </w:r>
    </w:p>
    <w:p>
      <w:pPr>
        <w:pStyle w:val="FirstParagraph"/>
      </w:pPr>
      <w:r>
        <w:rPr>
          <w:bCs/>
          <w:b/>
        </w:rPr>
        <w:t xml:space="preserve">Biến kiểm soát</w:t>
      </w:r>
      <w:r>
        <w:t xml:space="preserve">: top manager experience (năm kinh nghiệm), top manager education, top manager gender (female / male).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biến-kiểm-soát"/>
    <w:p>
      <w:pPr>
        <w:pStyle w:val="Heading3"/>
      </w:pPr>
      <w:r>
        <w:t xml:space="preserve">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mô-hình-phân-tích"/>
    <w:p>
      <w:pPr>
        <w:pStyle w:val="Heading2"/>
      </w:pPr>
      <w:r>
        <w:t xml:space="preserve">4. Mô hình phân tích</w:t>
      </w:r>
    </w:p>
    <w:bookmarkStart w:id="36" w:name="mô-hình-meta-analysis"/>
    <w:p>
      <w:pPr>
        <w:pStyle w:val="Heading3"/>
      </w:pPr>
      <w:r>
        <w:t xml:space="preserve">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mô-hình-empirical-tuyến-tính-cơ-bản"/>
    <w:p>
      <w:pPr>
        <w:pStyle w:val="Heading3"/>
      </w:pPr>
      <w:r>
        <w:t xml:space="preserve">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mô-hình-phi-tuyến-h1"/>
    <w:p>
      <w:pPr>
        <w:pStyle w:val="Heading3"/>
      </w:pPr>
      <w:r>
        <w:t xml:space="preserve">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mô-hình-moderation-h2h6"/>
    <w:p>
      <w:pPr>
        <w:pStyle w:val="Heading3"/>
      </w:pPr>
      <w:r>
        <w:t xml:space="preserve">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 (DAI),</w:t>
      </w:r>
      <w:r>
        <w:t xml:space="preserve"> </w:t>
      </w:r>
      <m:oMath>
        <m:r>
          <m:t>I</m:t>
        </m:r>
      </m:oMath>
      <w:r>
        <w:t xml:space="preserve"> </w:t>
      </w:r>
      <w:r>
        <w:t xml:space="preserve">= institutional (ICRV) là hai nhân tố điều tiết trọng tâm, và</w:t>
      </w:r>
      <w:r>
        <w:t xml:space="preserve"> </w:t>
      </w:r>
      <m:oMath>
        <m:r>
          <m:t>M</m:t>
        </m:r>
      </m:oMath>
      <w:r>
        <w:t xml:space="preserve"> </w:t>
      </w:r>
      <w:r>
        <w:t xml:space="preserve">= manager được đưa vào như khối kiểm soát quản trị nội sinh.</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focal moderation digital × institutional (DAI × ICRV) trong bối cảnh châu Á và Pacific với 47 nước chưa được kiểm định trước đây, với đặc điểm nhà quản trị giữ vai trò kiểm soát quản trị nội sinh nhằm bảo vệ tính nhân quả thuần khiết của tương tác Thể chế × Công nghệ.</w:t>
      </w:r>
    </w:p>
    <w:bookmarkEnd w:id="40"/>
    <w:bookmarkEnd w:id="41"/>
    <w:bookmarkStart w:id="42" w:name="mô-hình-temporal-heterogeneity-h6"/>
    <w:p>
      <w:pPr>
        <w:pStyle w:val="Heading3"/>
      </w:pPr>
      <w:r>
        <w:t xml:space="preserve">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3ef1c131b29643aac6595f7e8338779440cc96b"/>
    <w:p>
      <w:pPr>
        <w:pStyle w:val="Heading3"/>
      </w:pPr>
      <w:r>
        <w:t xml:space="preserve">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ee326425775ef5a6cb69bdccb6b7f607df42eb1"/>
    <w:p>
      <w:pPr>
        <w:pStyle w:val="Heading3"/>
      </w:pPr>
      <w:r>
        <w:t xml:space="preserve">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phân tích Việt Nam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0414c1f445c504fea8a4b83b026b3007745b73"/>
    <w:p>
      <w:pPr>
        <w:pStyle w:val="Heading3"/>
      </w:pPr>
      <w:r>
        <w:t xml:space="preserve">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 z-std của TB(b8₀₁, e6₀₁, b4₀₁, b7a₀₁); mở rộng hơn phân tích Việt Nam</w:t>
      </w:r>
    </w:p>
    <w:p>
      <w:pPr>
        <w:numPr>
          <w:ilvl w:val="0"/>
          <w:numId w:val="1006"/>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 không đủ để kiểm định CDCM; hàm ý chính sách và lý thuyết khác với phân tích Singapore (Tier-1+2).</w:t>
      </w:r>
    </w:p>
    <w:p>
      <w:r>
        <w:pict>
          <v:rect style="width:0;height:1.5pt" o:hralign="center" o:hrstd="t" o:hr="t"/>
        </w:pict>
      </w:r>
    </w:p>
    <w:bookmarkEnd w:id="45"/>
    <w:bookmarkStart w:id="46" w:name="Xef1ee77b66ccd9962e55365d60bd74be93a9b17"/>
    <w:p>
      <w:pPr>
        <w:pStyle w:val="Heading3"/>
      </w:pPr>
      <w:r>
        <w:t xml:space="preserve">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full). Thiết kế hierarchical OLS với HC1 robust standard errors, clustered theo country-year. Ký hiệu tiếng Việt:</w:t>
      </w:r>
    </w:p>
    <w:p>
      <w:pPr>
        <w:numPr>
          <w:ilvl w:val="0"/>
          <w:numId w:val="1007"/>
        </w:numPr>
        <w:pStyle w:val="Compact"/>
      </w:pPr>
      <w:r>
        <w:rPr>
          <w:bCs/>
          <w:b/>
        </w:rPr>
        <w:t xml:space="preserve">lnNSLD_it</w:t>
      </w:r>
      <w:r>
        <w:t xml:space="preserve">: ln(năng suất lao động) = ln(doanh thu / lao động thường trực) — biến phụ thuộc</w:t>
      </w:r>
    </w:p>
    <w:p>
      <w:pPr>
        <w:numPr>
          <w:ilvl w:val="0"/>
          <w:numId w:val="1007"/>
        </w:numPr>
        <w:pStyle w:val="Compact"/>
      </w:pPr>
      <w:r>
        <w:rPr>
          <w:bCs/>
          <w:b/>
        </w:rPr>
        <w:t xml:space="preserve">CDDXK_c_it</w:t>
      </w:r>
      <w:r>
        <w:t xml:space="preserve">: cường độ xuất khẩu mean-centred — FSTS_c = (d3c/100) − mean_pool(FSTS)</w:t>
      </w:r>
    </w:p>
    <w:p>
      <w:pPr>
        <w:numPr>
          <w:ilvl w:val="0"/>
          <w:numId w:val="1007"/>
        </w:numPr>
        <w:pStyle w:val="Compact"/>
      </w:pPr>
      <w:r>
        <w:rPr>
          <w:bCs/>
          <w:b/>
        </w:rPr>
        <w:t xml:space="preserve">CDDXK_c²_it</w:t>
      </w:r>
      <w:r>
        <w:t xml:space="preserve">: CDDXK_c bình phương — kiểm định phi tuyến</w:t>
      </w:r>
    </w:p>
    <w:p>
      <w:pPr>
        <w:numPr>
          <w:ilvl w:val="0"/>
          <w:numId w:val="1007"/>
        </w:numPr>
        <w:pStyle w:val="Compact"/>
      </w:pPr>
      <w:r>
        <w:rPr>
          <w:bCs/>
          <w:b/>
        </w:rPr>
        <w:t xml:space="preserve">NLCN_z_it</w:t>
      </w:r>
      <w:r>
        <w:t xml:space="preserve">: năng lực công nghệ z-standardised — TCI_z = z-std(b8, e6)</w:t>
      </w:r>
    </w:p>
    <w:p>
      <w:pPr>
        <w:numPr>
          <w:ilvl w:val="0"/>
          <w:numId w:val="1007"/>
        </w:numPr>
        <w:pStyle w:val="Compact"/>
      </w:pPr>
      <w:r>
        <w:rPr>
          <w:bCs/>
          <w:b/>
        </w:rPr>
        <w:t xml:space="preserve">CSS_z_it</w:t>
      </w:r>
      <w:r>
        <w:t xml:space="preserve">: chỉ số số hoá z-standardised —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Advanced→SIDS)</w:t>
      </w:r>
    </w:p>
    <w:p>
      <w:pPr>
        <w:numPr>
          <w:ilvl w:val="0"/>
          <w:numId w:val="1007"/>
        </w:numPr>
        <w:pStyle w:val="Compact"/>
      </w:pPr>
      <w:r>
        <w:rPr>
          <w:bCs/>
          <w:b/>
        </w:rPr>
        <w:t xml:space="preserve">lnLD_it</w:t>
      </w:r>
      <w:r>
        <w:t xml:space="preserve">: ln(lao động thường trực) —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(top manager nữ: hiệu ứng nâng mặt bằng, lợi thế hiệu quả  22%cross-context)</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82.302 (M2) → 36.772 (M3, thêm kiểm soát) → 28.500 (M11, thêm manager + ICRV + three-way). DAI phân tích đa quốc gia là Tier 1+2 khi k33 có mặt, Tier-1 only khi thiếu — khác với phân tích Việt Nam Vietnam (Tier-1 only) và đồng nhất với phân tích Singapore (Tier-1+2). ICRV là biến điều tiết liên tục (integer), không phải dummies, nhằm giữ N đủ lớn trong M10–M11.</w:t>
      </w:r>
    </w:p>
    <w:bookmarkEnd w:id="46"/>
    <w:bookmarkStart w:id="47" w:name="X72c3034bf25699c0cc81f461b619e266c28066b"/>
    <w:p>
      <w:pPr>
        <w:pStyle w:val="Heading3"/>
      </w:pPr>
      <w:r>
        <w:t xml:space="preserve">4.5.5 Mô hình cụ thể — Nghiên cứu 8 (Pacific SIDS, WBES 2009–2025)</w:t>
      </w:r>
    </w:p>
    <w:p>
      <w:pPr>
        <w:pStyle w:val="FirstParagraph"/>
      </w:pPr>
      <w:r>
        <w:rPr>
          <w:bCs/>
          <w:b/>
        </w:rPr>
        <w:t xml:space="preserve">Bối cảnh</w:t>
      </w:r>
      <w:r>
        <w:t xml:space="preserve">: 9 nền kinh tế Pacific SIDS (Fiji, Kiribati, Papua New Guinea, Samoa, Solomon Islands, Timor-Leste, Tonga, Vanuatu, Comoros), N = 1.469 doanh nghiệp (mẫu phân tích sau lọc missing lnNSLD và CDDXK), trong đó 187 nhà xuất khẩu (12,7%). Phân loại ICRV Regime IV/V (Frontier + Pacific SIDS).</w:t>
      </w:r>
    </w:p>
    <w:p>
      <w:pPr>
        <w:pStyle w:val="BodyText"/>
      </w:pPr>
      <w:r>
        <w:rPr>
          <w:bCs/>
          <w:b/>
        </w:rPr>
        <w:t xml:space="preserve">Ký hiệu tiếng Việt — Nghiên cứu 8</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ln(d2/l1): ln(doanh thu PPP/lao động)</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Cường độ xuất khẩu (FSTS)</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bình_wave(CDDXK): trung tâm hóa</w:t>
            </w:r>
          </w:p>
        </w:tc>
        <w:tc>
          <w:tcPr/>
          <w:p>
            <w:pPr>
              <w:pStyle w:val="Compact"/>
              <w:jc w:val="left"/>
            </w:pPr>
            <w:r>
              <w:t xml:space="preserve">Biến độc lập chính</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z-std(mean(b8, e6)): chứng nhận + công nghệ nước ngoài</w:t>
            </w:r>
          </w:p>
        </w:tc>
        <w:tc>
          <w:tcPr/>
          <w:p>
            <w:pPr>
              <w:pStyle w:val="Compact"/>
              <w:jc w:val="left"/>
            </w:pPr>
            <w:r>
              <w:t xml:space="preserve">Năng lực công nghệ (TCI)</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z-std(c22b): website (Tier-1 proxy, static)</w:t>
            </w:r>
          </w:p>
        </w:tc>
        <w:tc>
          <w:tcPr/>
          <w:p>
            <w:pPr>
              <w:pStyle w:val="Compact"/>
              <w:jc w:val="left"/>
            </w:pPr>
            <w:r>
              <w:t xml:space="preserve">Chỉ số số hoá (DAI, Tier-1)</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 DN)</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tỷ lệ sở hữu nước ngoài (%)</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w:t>
            </w:r>
          </w:p>
        </w:tc>
        <w:tc>
          <w:tcPr/>
          <w:p>
            <w:pPr>
              <w:pStyle w:val="Compact"/>
              <w:jc w:val="left"/>
            </w:pPr>
            <w:r>
              <w:t xml:space="preserve">country fixed effects</w:t>
            </w:r>
          </w:p>
        </w:tc>
        <w:tc>
          <w:tcPr/>
          <w:p>
            <w:pPr>
              <w:pStyle w:val="Compact"/>
              <w:jc w:val="left"/>
            </w:pPr>
            <w:r>
              <w:t xml:space="preserve">FE quốc gia</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w:t>
            </w:r>
          </w:p>
        </w:tc>
        <w:tc>
          <w:tcPr/>
          <w:p>
            <w:pPr>
              <w:pStyle w:val="Compact"/>
              <w:jc w:val="left"/>
            </w:pPr>
            <w:r>
              <w:t xml:space="preserve">FE năm khảo sát</w:t>
            </w:r>
          </w:p>
        </w:tc>
      </w:tr>
    </w:tbl>
    <w:p>
      <w:pPr>
        <w:pStyle w:val="BodyText"/>
      </w:pPr>
      <w:r>
        <w:rPr>
          <w:bCs/>
          <w:b/>
        </w:rPr>
        <w:t xml:space="preserve">Chuỗi mô hình M0–M3</w:t>
      </w:r>
      <w:r>
        <w:t xml:space="preserve">:</w:t>
      </w:r>
    </w:p>
    <w:p>
      <w:pPr>
        <w:pStyle w:val="BodyText"/>
      </w:pPr>
      <w:r>
        <w:t xml:space="preserve">M0 (Controls baseline):</w:t>
      </w:r>
      <w:r>
        <w:t xml:space="preserve"> </w:t>
      </w:r>
      <w:r>
        <w:t xml:space="preserve">lnNSLD_it = α + γ₁ lnLD_it + γ₂ TuoiDN_it + γ₃ SoHuuNN_it + δ_c + λ_t + ε_it</w:t>
      </w:r>
    </w:p>
    <w:p>
      <w:pPr>
        <w:pStyle w:val="BodyText"/>
      </w:pPr>
      <w:r>
        <w:t xml:space="preserve">M1 (Tuyến tính — kiểm định H1 FIP):</w:t>
      </w:r>
      <w:r>
        <w:t xml:space="preserve"> </w:t>
      </w:r>
      <w:r>
        <w:t xml:space="preserve">lnNSLD_it = α + β₁ CDDXK_c_it + γ·X_it + δ_c + λ_t + ε_it</w:t>
      </w:r>
      <w:r>
        <w:t xml:space="preserve"> </w:t>
      </w:r>
      <w:r>
        <w:t xml:space="preserve">→</w:t>
      </w:r>
      <w:r>
        <w:t xml:space="preserve"> </w:t>
      </w:r>
      <w:r>
        <w:rPr>
          <w:bCs/>
          <w:b/>
        </w:rPr>
        <w:t xml:space="preserve">H1 FIP: β₁ &lt; 0, không có điểm uốn</w:t>
      </w:r>
      <w:r>
        <w:t xml:space="preserve"> </w:t>
      </w:r>
      <w:r>
        <w:t xml:space="preserve">[β₁ = −0,404, SE = 0,188, p = .032*]</w:t>
      </w:r>
    </w:p>
    <w:p>
      <w:pPr>
        <w:pStyle w:val="BodyText"/>
      </w:pPr>
      <w:r>
        <w:t xml:space="preserve">M2 (Phi tuyến — kiểm định hình dạng đường cong):</w:t>
      </w:r>
      <w:r>
        <w:t xml:space="preserve"> </w:t>
      </w:r>
      <w:r>
        <w:t xml:space="preserve">lnNSLD_it = α + β₁ CDDXK_c_it + β₂ CDDXK_c²_it + γ·X_it + δ_c + λ_t + ε_it</w:t>
      </w:r>
      <w:r>
        <w:t xml:space="preserve"> </w:t>
      </w:r>
      <w:r>
        <w:t xml:space="preserve">→ β₁ và β₂ đều không có ý nghĩa thống kê → xác nhận quan hệ âm đơn điệu, không có điểm uốn</w:t>
      </w:r>
    </w:p>
    <w:p>
      <w:pPr>
        <w:pStyle w:val="BodyText"/>
      </w:pPr>
      <w:r>
        <w:t xml:space="preserve">M3 (+ Năng lực — kiểm định H2 null):</w:t>
      </w:r>
      <w:r>
        <w:t xml:space="preserve"> </w:t>
      </w:r>
      <w:r>
        <w:t xml:space="preserve">lnNSLD_it = α + β₁ CDDXK_c_it + β₂ CDDXK_c²_it + β₃ NLCN_z_it + β₄ CSS_z_it + γ·X_it + δ_c + λ_t + ε_it</w:t>
      </w:r>
      <w:r>
        <w:t xml:space="preserve"> </w:t>
      </w:r>
      <w:r>
        <w:t xml:space="preserve">→ NLCN_z: β = +0,058, p = .495 (n.s.); CSS_z: β = +0,062, p = .402 (n.s.)</w:t>
      </w:r>
      <w:r>
        <w:t xml:space="preserve"> </w:t>
      </w:r>
      <w:r>
        <w:t xml:space="preserve">→</w:t>
      </w:r>
      <w:r>
        <w:t xml:space="preserve"> </w:t>
      </w:r>
      <w:r>
        <w:rPr>
          <w:bCs/>
          <w:b/>
        </w:rPr>
        <w:t xml:space="preserve">H2: Năng lực doanh nghiệp không điều tiết được quan hệ CDDXK–lnNSLD trong bối cảnh SIDS</w:t>
      </w:r>
    </w:p>
    <w:p>
      <w:pPr>
        <w:pStyle w:val="BodyText"/>
      </w:pPr>
      <w:r>
        <w:rPr>
          <w:bCs/>
          <w:b/>
        </w:rPr>
        <w:t xml:space="preserve">Robustness</w:t>
      </w:r>
      <w:r>
        <w:t xml:space="preserve">:</w:t>
      </w:r>
    </w:p>
    <w:p>
      <w:pPr>
        <w:pStyle w:val="BodyText"/>
      </w:pPr>
      <w:r>
        <w:t xml:space="preserve">M_yearFE (chỉ year FE, không country FE):</w:t>
      </w:r>
      <w:r>
        <w:t xml:space="preserve"> </w:t>
      </w:r>
      <w:r>
        <w:t xml:space="preserve">lnNSLD_it = α + β₁ CDDXK_it + γ·X_it + λ_t + ε_it</w:t>
      </w:r>
      <w:r>
        <w:t xml:space="preserve"> </w:t>
      </w:r>
      <w:r>
        <w:t xml:space="preserve">→ β₁ = −1,236, SE = 0,269, p &lt; .001 (tác động mạnh hơn khi không kiểm soát heterogeneity quốc gia)</w:t>
      </w:r>
    </w:p>
    <w:p>
      <w:pPr>
        <w:pStyle w:val="BodyText"/>
      </w:pPr>
      <w:r>
        <w:t xml:space="preserve">M_bivariate (không controls):</w:t>
      </w:r>
      <w:r>
        <w:t xml:space="preserve"> </w:t>
      </w:r>
      <w:r>
        <w:t xml:space="preserve">lnNSLD_it = α + β₁ CDDXK_it + ε_it</w:t>
      </w:r>
      <w:r>
        <w:t xml:space="preserve"> </w:t>
      </w:r>
      <w:r>
        <w:t xml:space="preserve">→ β₁ = −1,596, SE = 0,263, p &lt; .001</w:t>
      </w:r>
    </w:p>
    <w:p>
      <w:pPr>
        <w:pStyle w:val="BodyText"/>
      </w:pPr>
      <w:r>
        <w:t xml:space="preserve">Exporters-only (N = 187 nhà xuất khẩu):</w:t>
      </w:r>
      <w:r>
        <w:t xml:space="preserve"> </w:t>
      </w:r>
      <w:r>
        <w:t xml:space="preserve">→ β₁(CDDXK_c) = −0,901, SE = 0,398, p = .027* — xác nhận FIP ngay trong nhóm đang xuất khẩu</w:t>
      </w:r>
    </w:p>
    <w:p>
      <w:pPr>
        <w:pStyle w:val="BodyText"/>
      </w:pPr>
      <w:r>
        <w:rPr>
          <w:bCs/>
          <w:b/>
        </w:rPr>
        <w:t xml:space="preserve">Kết quả chính</w:t>
      </w:r>
      <w:r>
        <w:t xml:space="preserve">:</w:t>
      </w:r>
    </w:p>
    <w:p>
      <w:pPr>
        <w:pStyle w:val="BodyText"/>
      </w:pPr>
      <w:r>
        <w:rPr>
          <w:bCs/>
          <w:b/>
        </w:rPr>
        <w:t xml:space="preserve">Gánh nặng quốc tế hóa bắt buộc (Forced Internationalization Penalty — FIP)</w:t>
      </w:r>
      <w:r>
        <w:t xml:space="preserve"> </w:t>
      </w:r>
      <w:r>
        <w:t xml:space="preserve">được xác nhận: quan hệ âm đơn điệu giữa cường độ xuất khẩu và năng suất lao động tại 9 nền kinh tế Pacific SIDS, không có điểm uốn trong phạm vi dữ liệu quan sát (CDDXK trung bình = 0,060).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c>
          <w:tcPr/>
          <w:p>
            <w:pPr>
              <w:pStyle w:val="Compact"/>
              <w:jc w:val="left"/>
            </w:pPr>
            <w:r>
              <w:t xml:space="preserve">Kết luận</w:t>
            </w:r>
          </w:p>
        </w:tc>
      </w:tr>
      <w:tr>
        <w:tc>
          <w:tcPr/>
          <w:p>
            <w:pPr>
              <w:pStyle w:val="Compact"/>
              <w:jc w:val="left"/>
            </w:pPr>
            <w:r>
              <w:t xml:space="preserve">M1 (country+year FE)</w:t>
            </w:r>
          </w:p>
        </w:tc>
        <w:tc>
          <w:tcPr/>
          <w:p>
            <w:pPr>
              <w:pStyle w:val="Compact"/>
              <w:jc w:val="left"/>
            </w:pPr>
            <w:r>
              <w:t xml:space="preserve">1.469</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rPr>
                <w:bCs/>
                <w:b/>
              </w:rPr>
              <w:t xml:space="preserve">FIP xác nhận</w:t>
            </w:r>
          </w:p>
        </w:tc>
      </w:tr>
      <w:tr>
        <w:tc>
          <w:tcPr/>
          <w:p>
            <w:pPr>
              <w:pStyle w:val="Compact"/>
              <w:jc w:val="left"/>
            </w:pPr>
            <w:r>
              <w:t xml:space="preserve">M2 (phi tuyến)</w:t>
            </w:r>
          </w:p>
        </w:tc>
        <w:tc>
          <w:tcPr/>
          <w:p>
            <w:pPr>
              <w:pStyle w:val="Compact"/>
              <w:jc w:val="left"/>
            </w:pPr>
            <w:r>
              <w:t xml:space="preserve">1.469</w:t>
            </w:r>
          </w:p>
        </w:tc>
        <w:tc>
          <w:tcPr/>
          <w:p>
            <w:pPr>
              <w:pStyle w:val="Compact"/>
              <w:jc w:val="left"/>
            </w:pPr>
            <w:r>
              <w:t xml:space="preserve">n.s.</w:t>
            </w:r>
          </w:p>
        </w:tc>
        <w:tc>
          <w:tcPr/>
          <w:p>
            <w:pPr>
              <w:pStyle w:val="Compact"/>
              <w:jc w:val="left"/>
            </w:pPr>
            <w:r>
              <w:t xml:space="preserve">—</w:t>
            </w:r>
          </w:p>
        </w:tc>
        <w:tc>
          <w:tcPr/>
          <w:p>
            <w:pPr>
              <w:pStyle w:val="Compact"/>
              <w:jc w:val="left"/>
            </w:pPr>
            <w:r>
              <w:t xml:space="preserve">.265</w:t>
            </w:r>
          </w:p>
        </w:tc>
        <w:tc>
          <w:tcPr/>
          <w:p>
            <w:pPr>
              <w:pStyle w:val="Compact"/>
              <w:jc w:val="left"/>
            </w:pPr>
            <w:r>
              <w:t xml:space="preserve">Không có điểm uốn</w:t>
            </w:r>
          </w:p>
        </w:tc>
      </w:tr>
      <w:tr>
        <w:tc>
          <w:tcPr/>
          <w:p>
            <w:pPr>
              <w:pStyle w:val="Compact"/>
              <w:jc w:val="left"/>
            </w:pPr>
            <w:r>
              <w:t xml:space="preserve">M3 (+ năng lực, N giảm)</w:t>
            </w:r>
          </w:p>
        </w:tc>
        <w:tc>
          <w:tcPr/>
          <w:p>
            <w:pPr>
              <w:pStyle w:val="Compact"/>
              <w:jc w:val="left"/>
            </w:pPr>
            <w:r>
              <w:t xml:space="preserve">526</w:t>
            </w:r>
          </w:p>
        </w:tc>
        <w:tc>
          <w:tcPr/>
          <w:p>
            <w:pPr>
              <w:pStyle w:val="Compact"/>
              <w:jc w:val="left"/>
            </w:pPr>
            <w:r>
              <w:t xml:space="preserve">−0,974</w:t>
            </w:r>
          </w:p>
        </w:tc>
        <w:tc>
          <w:tcPr/>
          <w:p>
            <w:pPr>
              <w:pStyle w:val="Compact"/>
              <w:jc w:val="left"/>
            </w:pPr>
            <w:r>
              <w:t xml:space="preserve">0,850</w:t>
            </w:r>
          </w:p>
        </w:tc>
        <w:tc>
          <w:tcPr/>
          <w:p>
            <w:pPr>
              <w:pStyle w:val="Compact"/>
              <w:jc w:val="left"/>
            </w:pPr>
            <w:r>
              <w:t xml:space="preserve">.252</w:t>
            </w:r>
          </w:p>
        </w:tc>
        <w:tc>
          <w:tcPr/>
          <w:p>
            <w:pPr>
              <w:pStyle w:val="Compact"/>
              <w:jc w:val="left"/>
            </w:pPr>
            <w:r>
              <w:t xml:space="preserve">FIP giữ chiều âm</w:t>
            </w:r>
          </w:p>
        </w:tc>
      </w:tr>
      <w:tr>
        <w:tc>
          <w:tcPr/>
          <w:p>
            <w:pPr>
              <w:pStyle w:val="Compact"/>
              <w:jc w:val="left"/>
            </w:pPr>
            <w:r>
              <w:t xml:space="preserve">M_yearFE</w:t>
            </w:r>
          </w:p>
        </w:tc>
        <w:tc>
          <w:tcPr/>
          <w:p>
            <w:pPr>
              <w:pStyle w:val="Compact"/>
              <w:jc w:val="left"/>
            </w:pPr>
            <w:r>
              <w:t xml:space="preserve">1.469</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Vững</w:t>
            </w:r>
          </w:p>
        </w:tc>
      </w:tr>
      <w:tr>
        <w:tc>
          <w:tcPr/>
          <w:p>
            <w:pPr>
              <w:pStyle w:val="Compact"/>
              <w:jc w:val="left"/>
            </w:pPr>
            <w:r>
              <w:t xml:space="preserve">Exporters-only</w:t>
            </w:r>
          </w:p>
        </w:tc>
        <w:tc>
          <w:tcPr/>
          <w:p>
            <w:pPr>
              <w:pStyle w:val="Compact"/>
              <w:jc w:val="left"/>
            </w:pPr>
            <w:r>
              <w:t xml:space="preserve">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Vững</w:t>
            </w:r>
          </w:p>
        </w:tc>
      </w:tr>
    </w:tbl>
    <w:p>
      <w:pPr>
        <w:pStyle w:val="BodyText"/>
      </w:pPr>
      <w:r>
        <w:rPr>
          <w:iCs/>
          <w:i/>
        </w:rPr>
        <w:t xml:space="preserve">Ghi chú: N giảm trong M3 (1.469 → 526) do missing values của biến NLCN_z và CSS_z. Chiều β(CDDXK_c) nhất quán âm trong tất cả mô hình. Country FE hấp thụ phần lớn phương sai (R² tăng từ 0,511 lên 0,800 khi thêm country FE), phù hợp với bối cảnh heterogeneity cực cao giữa các nền kinh tế SIDS. DAI là Tier-1 proxy (website) — không phải năng lực số động.</w:t>
      </w:r>
    </w:p>
    <w:p>
      <w:pPr>
        <w:pStyle w:val="BodyText"/>
      </w:pPr>
      <w:r>
        <w:rPr>
          <w:bCs/>
          <w:b/>
        </w:rPr>
        <w:t xml:space="preserve">Đóng góp lý thuyết từ Nghiên cứu 8</w:t>
      </w:r>
      <w:r>
        <w:t xml:space="preserve">: FIP là</w:t>
      </w:r>
      <w:r>
        <w:t xml:space="preserve"> </w:t>
      </w:r>
      <w:r>
        <w:rPr>
          <w:bCs/>
          <w:b/>
        </w:rPr>
        <w:t xml:space="preserve">boundary condition</w:t>
      </w:r>
      <w:r>
        <w:t xml:space="preserve"> </w:t>
      </w:r>
      <w:r>
        <w:t xml:space="preserve">của mô hình inverted-U: khi 3 điều kiện tiên quyết cấu trúc đồng thời không được đáp ứng — (1) thị trường nội địa khả thi, (2) chi phí thương mại chấp nhận được, (3) thể chế hỗ trợ trao đổi quốc tế — quan hệ I→P chuyển từ inverted-U thành đường thẳng âm đơn điệu không có điểm uốn. Chuyển dịch lý thuyết từ</w:t>
      </w:r>
      <w:r>
        <w:t xml:space="preserve"> </w:t>
      </w:r>
      <w:r>
        <w:t xml:space="preserve">“</w:t>
      </w:r>
      <w:r>
        <w:t xml:space="preserve">institutional moderation of I-P intensity</w:t>
      </w:r>
      <w:r>
        <w:t xml:space="preserve">”</w:t>
      </w:r>
      <w:r>
        <w:t xml:space="preserve"> </w:t>
      </w:r>
      <w:r>
        <w:t xml:space="preserve">(Marano et al., 2016) sang</w:t>
      </w:r>
      <w:r>
        <w:t xml:space="preserve"> </w:t>
      </w:r>
      <w:r>
        <w:t xml:space="preserve">“</w:t>
      </w:r>
      <w:r>
        <w:t xml:space="preserve">institutional determination of I-P sign</w:t>
      </w:r>
      <w:r>
        <w:t xml:space="preserve">”</w:t>
      </w:r>
      <w:r>
        <w:t xml:space="preserve">.</w:t>
      </w:r>
    </w:p>
    <w:p>
      <w:r>
        <w:pict>
          <v:rect style="width:0;height:1.5pt" o:hralign="center" o:hrstd="t" o:hr="t"/>
        </w:pict>
      </w:r>
    </w:p>
    <w:bookmarkEnd w:id="47"/>
    <w:bookmarkStart w:id="48" w:name="sai-số-chuẩn"/>
    <w:p>
      <w:pPr>
        <w:pStyle w:val="Heading3"/>
      </w:pPr>
      <w:r>
        <w:t xml:space="preserve">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kiểm-định-độ-vững"/>
    <w:p>
      <w:pPr>
        <w:pStyle w:val="Heading2"/>
      </w:pPr>
      <w:r>
        <w:t xml:space="preserve">5. Kiểm định độ vững</w:t>
      </w:r>
    </w:p>
    <w:bookmarkStart w:id="50" w:name="thay-đổi-thước-đo"/>
    <w:p>
      <w:pPr>
        <w:pStyle w:val="Heading3"/>
      </w:pPr>
      <w:r>
        <w:t xml:space="preserve">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moderator: thay DAI_thin bằng DAI_rich (cho subset 2024+).</w:t>
      </w:r>
    </w:p>
    <w:bookmarkEnd w:id="50"/>
    <w:bookmarkStart w:id="51" w:name="mẫu-phụ"/>
    <w:p>
      <w:pPr>
        <w:pStyle w:val="Heading3"/>
      </w:pPr>
      <w:r>
        <w:t xml:space="preserve">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outliers"/>
    <w:p>
      <w:pPr>
        <w:pStyle w:val="Heading3"/>
      </w:pPr>
      <w:r>
        <w:t xml:space="preserve">5.3 Outliers</w:t>
      </w:r>
    </w:p>
    <w:p>
      <w:pPr>
        <w:pStyle w:val="FirstParagraph"/>
      </w:pPr>
      <w:r>
        <w:t xml:space="preserve">Winsorization 1% và 5% đối với labor productivity và employment, áp dụng trong từng country-year.</w:t>
      </w:r>
    </w:p>
    <w:bookmarkEnd w:id="52"/>
    <w:bookmarkStart w:id="53" w:name="multicollinearity-và-heteroscedasticity"/>
    <w:p>
      <w:pPr>
        <w:pStyle w:val="Heading3"/>
      </w:pPr>
      <w:r>
        <w:t xml:space="preserve">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53"/>
    <w:bookmarkStart w:id="54" w:name="sensitivity-analysis-cho-meta-analysis"/>
    <w:p>
      <w:pPr>
        <w:pStyle w:val="Heading3"/>
      </w:pPr>
      <w:r>
        <w:t xml:space="preserve">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54"/>
    <w:bookmarkEnd w:id="55"/>
    <w:bookmarkStart w:id="56" w:name="tóm-tắt-kế-thừa-và-đóng-góp-mới"/>
    <w:p>
      <w:pPr>
        <w:pStyle w:val="Heading2"/>
      </w:pPr>
      <w:r>
        <w:t xml:space="preserve">6. Tóm tắt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Focal moderation digital × institutional</w:t>
            </w:r>
          </w:p>
        </w:tc>
        <w:tc>
          <w:tcPr/>
          <w:p>
            <w:pPr>
              <w:pStyle w:val="Compact"/>
              <w:jc w:val="left"/>
            </w:pPr>
            <w:r>
              <w:t xml:space="preserve">Aiken &amp; West (1991); Dawson (2014)</w:t>
            </w:r>
          </w:p>
        </w:tc>
        <w:tc>
          <w:tcPr/>
          <w:p>
            <w:pPr>
              <w:pStyle w:val="Compact"/>
              <w:jc w:val="left"/>
            </w:pPr>
            <w:r>
              <w:t xml:space="preserve">DAI × ICRV mới cho châu Á và Pacific; manager characteristics giữ vai trò kiểm soát quản trị nội sinh</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đạo-đức-nghiên-cứu"/>
    <w:p>
      <w:pPr>
        <w:pStyle w:val="Heading2"/>
      </w:pPr>
      <w:r>
        <w:t xml:space="preserve">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2026-05-26T18:09:21Z</dcterms:created>
  <dcterms:modified xsi:type="dcterms:W3CDTF">2026-05-26T18:09:21Z</dcterms:modified>
</cp:coreProperties>
</file>

<file path=docProps/custom.xml><?xml version="1.0" encoding="utf-8"?>
<Properties xmlns="http://schemas.openxmlformats.org/officeDocument/2006/custom-properties" xmlns:vt="http://schemas.openxmlformats.org/officeDocument/2006/docPropsVTypes"/>
</file>