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chương-4-kết-quả-nghiên-cứu"/>
    <w:p>
      <w:pPr>
        <w:pStyle w:val="Heading1"/>
      </w:pPr>
      <w:r>
        <w:t xml:space="preserve">CHƯƠNG 4: KẾT QUẢ NGHIÊN CỨU</w:t>
      </w:r>
    </w:p>
    <w:p>
      <w:r>
        <w:pict>
          <v:rect style="width:0;height:1.5pt" o:hralign="center" o:hrstd="t" o:hr="t"/>
        </w:pict>
      </w:r>
    </w:p>
    <w:bookmarkStart w:id="20" w:name="giới-thiệu-chương"/>
    <w:p>
      <w:pPr>
        <w:pStyle w:val="Heading2"/>
      </w:pPr>
      <w:r>
        <w:t xml:space="preserve">Giới thiệu chương</w:t>
      </w:r>
    </w:p>
    <w:p>
      <w:pPr>
        <w:pStyle w:val="FirstParagraph"/>
      </w:pPr>
      <w:r>
        <w:t xml:space="preserve">Chương 4 trình bày toàn bộ kết quả thực nghiệm của luận án theo một mạch logic: đi từ bằng chứng tổng hợp ở cấp vĩ mô đến bằng chứng của từng quốc gia cụ thể, và sau cùng là kiểm định trên toàn mẫu đa quốc gia. Cấu trúc trình bày gồm sáu phần chính, tương ứng với sáu nhóm phân tích của luận án: (i) kết quả phân tích tổng hợp ba tầng (phân tích tổng hợp); (ii) bối cảnh thể chế tiên tiến dựa trên đổi mới tại Singapore (Singapore); (iii) bối cảnh thể chế trung bình cao tại Trung Quốc (Trung Quốc); (iv) bối cảnh chuyển đổi bậc thấp đến trung tại Việt Nam (Việt Nam); (v) kiểm định toàn mẫu châu Á đa bối cảnh (phân tích đa quốc gia 45 nền kinh tế); và (vi) trường hợp biên là các nền kinh tế đảo nhỏ đang phát triển ở Thái Bình Dương (SIDS). Tất cả con số thống kê đều được trích từ các bản thảo đang chuẩn bị (Đỗ &amp; Phan, 2026, bản thảo đang chuẩn bị) và không được phép tự ý điều chỉnh.</w:t>
      </w:r>
    </w:p>
    <w:p>
      <w:r>
        <w:pict>
          <v:rect style="width:0;height:1.5pt" o:hralign="center" o:hrstd="t" o:hr="t"/>
        </w:pict>
      </w:r>
    </w:p>
    <w:bookmarkEnd w:id="20"/>
    <w:bookmarkStart w:id="25" w:name="X9bb57b0609fea0ddde9257310db550f867d6069"/>
    <w:p>
      <w:pPr>
        <w:pStyle w:val="Heading2"/>
      </w:pPr>
      <w:r>
        <w:t xml:space="preserve">4.1 Kết quả tổng hợp định lượng — Meta-analysis ba tầng (phân tích tổng hợp)</w:t>
      </w:r>
    </w:p>
    <w:bookmarkStart w:id="21" w:name="chỉ-số-hiệu-ứng-tổng-hợp"/>
    <w:p>
      <w:pPr>
        <w:pStyle w:val="Heading3"/>
      </w:pPr>
      <w:r>
        <w:t xml:space="preserve">4.1.1 Chỉ số hiệu ứng tổng hợp</w:t>
      </w:r>
    </w:p>
    <w:p>
      <w:pPr>
        <w:pStyle w:val="FirstParagraph"/>
      </w:pPr>
      <w:r>
        <w:t xml:space="preserve">Phân tích tổng hợp ba tầng (three-level multilevel meta-analysis — MARA) được tiến hành trên tập dữ liệu gồm</w:t>
      </w:r>
      <w:r>
        <w:t xml:space="preserve"> </w:t>
      </w:r>
      <m:oMath>
        <m:r>
          <m:t>k</m:t>
        </m:r>
        <m:r>
          <m:rPr>
            <m:sty m:val="p"/>
          </m:rPr>
          <m:t>=</m:t>
        </m:r>
        <m:r>
          <m:t>238</m:t>
        </m:r>
      </m:oMath>
      <w:r>
        <w:t xml:space="preserve"> </w:t>
      </w:r>
      <w:r>
        <w:t xml:space="preserve">nghiên cứu, với tổng cộng hàng trăm cặp mức độ ảnh hưởng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chung từ các phân tích tổng hợp trước đây của Bausch và Krist (2007), Kirca et al. (2012), Marano et al. (2016) và Arte và Larimo (2022): quan hệ tổng hợp giữa quốc tế hóa và hiệu quả hoạt động là dương nhưng có biên độ khiêm tốn.</w:t>
      </w:r>
    </w:p>
    <w:p>
      <w:pPr>
        <w:pStyle w:val="BodyText"/>
      </w:pPr>
      <w:r>
        <w:t xml:space="preserve">Một điểm đáng lưu ý là kết quả phân tích tổng hợp hoàn toàn nhất quán với mức tham chiếu từ phân tích tổng hợp đã công bố tại hội nghị ICBEF 2024 của Đỗ và Phan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ngay cả khi tập nghiên cứu được mở rộng lên gần gấp đôi.</w:t>
      </w:r>
    </w:p>
    <w:bookmarkEnd w:id="21"/>
    <w:bookmarkStart w:id="22" w:name="phân-tích-dị-biệt-ba-tầng"/>
    <w:p>
      <w:pPr>
        <w:pStyle w:val="Heading3"/>
      </w:pPr>
      <w:r>
        <w:t xml:space="preserve">4.1.2 Phân tích dị biệt ba tầng</w:t>
      </w:r>
    </w:p>
    <w:p>
      <w:pPr>
        <w:pStyle w:val="FirstParagraph"/>
      </w:pPr>
      <w:r>
        <w:t xml:space="preserve">Kết quả quan trọng nhất của phân tích MARA không nằm ở giá trị điểm của</w:t>
      </w:r>
      <w:r>
        <w:t xml:space="preserve"> </w:t>
      </w:r>
      <m:oMath>
        <m:r>
          <m:t>r</m:t>
        </m:r>
      </m:oMath>
      <w:r>
        <w:t xml:space="preserve"> </w:t>
      </w:r>
      <w:r>
        <w:t xml:space="preserve">mà ở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w:t>
      </w:r>
      <w:r>
        <w:t xml:space="preserve">cho thấy mức dị biệt đáng kể trong tập hợp 238 nghiên cứu không bắt nguồn từ sai số lấy mẫu. Quan trọng hơn, khi phân tách theo cấu trúc ba tầng:</w:t>
      </w:r>
    </w:p>
    <w:p>
      <w:pPr>
        <w:numPr>
          <w:ilvl w:val="0"/>
          <w:numId w:val="1001"/>
        </w:numPr>
        <w:pStyle w:val="Compact"/>
      </w:pPr>
      <w:r>
        <w:rPr>
          <w:bCs/>
          <w:b/>
        </w:rPr>
        <w:t xml:space="preserve">Tầng 2</w:t>
      </w:r>
      <w:r>
        <w:t xml:space="preserve"> </w:t>
      </w:r>
      <w:r>
        <w:t xml:space="preserve">(dị biệt giữa các mức độ ảnh hưởng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01"/>
        </w:numPr>
        <w:pStyle w:val="Compact"/>
      </w:pPr>
      <w:r>
        <w:rPr>
          <w:bCs/>
          <w:b/>
        </w:rPr>
        <w:t xml:space="preserve">Tầng 3</w:t>
      </w:r>
      <w:r>
        <w:t xml:space="preserve"> </w:t>
      </w:r>
      <w:r>
        <w:t xml:space="preserve">(dị biệt giữa các nghiên cứu với nhau): chỉ chiếm</w:t>
      </w:r>
      <w:r>
        <w:t xml:space="preserve"> </w:t>
      </w:r>
      <m:oMath>
        <m:r>
          <m:t>8</m:t>
        </m:r>
        <m:r>
          <m:rPr>
            <m:sty m:val="p"/>
          </m:rPr>
          <m:t>,</m:t>
        </m:r>
        <m:r>
          <m:t>4</m:t>
        </m:r>
        <m:r>
          <m:rPr>
            <m:sty m:val="p"/>
          </m:rPr>
          <m:t>%</m:t>
        </m:r>
      </m:oMath>
      <w:r>
        <w:t xml:space="preserve">.</w:t>
      </w:r>
    </w:p>
    <w:p>
      <w:pPr>
        <w:pStyle w:val="FirstParagraph"/>
      </w:pPr>
      <w:r>
        <w:t xml:space="preserve">Phát hiện này mang hàm ý lý thuyết sâu sắc. Dị biệt trong tài liệu nghiên cứu về quan hệ giữa quốc tế hóa và hiệu quả hoạt động chủ yếu xuất phát từ biến thiên</w:t>
      </w:r>
      <w:r>
        <w:t xml:space="preserve"> </w:t>
      </w:r>
      <w:r>
        <w:rPr>
          <w:bCs/>
          <w:b/>
        </w:rPr>
        <w:t xml:space="preserve">bên trong từng nghiên cứu</w:t>
      </w:r>
      <w:r>
        <w:t xml:space="preserve"> </w:t>
      </w:r>
      <w:r>
        <w:t xml:space="preserve">(chẳng hạn cùng một mẫu doanh nghiệp nhưng dùng các thước đo khác nhau cho cùng một khái niệm lại cho kết quả khác nhau), chứ không phải từ sự khác biệt giữa các nghiên cứu. Điều này gợi ý rằng tính không nhất quán trong tài liệu nghiên cứu phần lớn là vấn đề</w:t>
      </w:r>
      <w:r>
        <w:t xml:space="preserve"> </w:t>
      </w:r>
      <w:r>
        <w:rPr>
          <w:bCs/>
          <w:b/>
        </w:rPr>
        <w:t xml:space="preserve">đo lường và bối cảnh</w:t>
      </w:r>
      <w:r>
        <w:t xml:space="preserve">, chứ không phải bằng chứng về sự thiếu nhất quán thực sự trong quan hệ nhân quả giữa quốc tế hóa và hiệu quả.</w:t>
      </w:r>
    </w:p>
    <w:bookmarkEnd w:id="22"/>
    <w:bookmarkStart w:id="23" w:name="điều-tiết-bởi-chế-độ-thể-chế-icrv"/>
    <w:p>
      <w:pPr>
        <w:pStyle w:val="Heading3"/>
      </w:pPr>
      <w:r>
        <w:t xml:space="preserve">4.1.3 Điều tiết bởi chế độ thể chế ICRV</w:t>
      </w:r>
    </w:p>
    <w:p>
      <w:pPr>
        <w:pStyle w:val="FirstParagraph"/>
      </w:pPr>
      <w:r>
        <w:t xml:space="preserve">Kiểm định điều tiết theo nhóm chế độ thể chế ICRV (Institutional Context Regime Variation) cho kết quả có ý nghĩa thống kê cao:</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Kết quả này xác nhận rằng chế độ thể chế, được phân loại thành sáu nhóm từ Advanced Innovation-Driven (Nhóm I: Singapore, Hong Kong, Đài Loan, Hàn Quốc) đến SIDS Thái Bình Dương (Nhóm VI), thực sự là một yếu tố điều tiết có ý nghĩa đối với quan hệ tổng hợp giữa quốc tế hóa và hiệu quả hoạt động. Việc</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khác biệt giữa các nhóm ICRV không thể quy về sai số lấy mẫu.</w:t>
      </w:r>
    </w:p>
    <w:p>
      <w:pPr>
        <w:pStyle w:val="BodyText"/>
      </w:pPr>
      <w:r>
        <w:t xml:space="preserve">Gradient theo ICRV hiện diện rõ ràng trong kết quả: các nền kinh tế Advanced Innovation-Driven có hiệu ứng lớn hơn so với các nền kinh tế Frontier hay SIDS. Kết quả này nhất quán với cơ chế của lý thuyết thể chế, theo đó môi trường thể chế chất lượng cao tạo điều kiện để doanh nghiệp chuyển hóa quốc tế hóa thành hiệu quả dễ dàng hơn (North, 1990; Marano et al., 2016).</w:t>
      </w:r>
    </w:p>
    <w:bookmarkEnd w:id="23"/>
    <w:bookmarkStart w:id="24" w:name="kiểm-định-publication-bias"/>
    <w:p>
      <w:pPr>
        <w:pStyle w:val="Heading3"/>
      </w:pPr>
      <w:r>
        <w:t xml:space="preserve">4.1.4 Kiểm định publication bias</w:t>
      </w:r>
    </w:p>
    <w:p>
      <w:pPr>
        <w:pStyle w:val="FirstParagraph"/>
      </w:pPr>
      <w:r>
        <w:t xml:space="preserve">Phân tích sai lệch xuất bản (publication bias) gồm ba kiểm định bổ sung cho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chưa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các nghiên cứu có sai số chuẩn lớn hơn (mẫu nhỏ hơn) có xu hướng báo cáo mức độ ảnh hưởng thấp hơn, phù hợp với hiện tượng lệch lạc công bố ưu tiên kết quả dương tính.</w:t>
      </w:r>
      <w:r>
        <w:t xml:space="preserve"> </w:t>
      </w:r>
      <w:r>
        <w:rPr>
          <w:bCs/>
          <w:b/>
        </w:rPr>
        <w:t xml:space="preserve">Phân tích cắt-và-điền (trim-and-fill)</w:t>
      </w:r>
      <w:r>
        <w:t xml:space="preserve"> </w:t>
      </w:r>
      <w:r>
        <w:t xml:space="preserve">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nội suy), một mức điều chỉnh đáng kể nhưng không làm đổi chiều hướng tích cực của quan hệ tổng hợp.</w:t>
      </w:r>
      <w:r>
        <w:t xml:space="preserve"> </w:t>
      </w:r>
      <w:r>
        <w:rPr>
          <w:bCs/>
          <w:b/>
        </w:rPr>
        <w:t xml:space="preserve">Chỉ số an toàn Fail-safe</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m:t>
        </m:r>
        <m:r>
          <m:rPr>
            <m:sty m:val="p"/>
          </m:rPr>
          <m:t>,</m:t>
        </m:r>
        <m:r>
          <m:t>200</m:t>
        </m:r>
      </m:oMath>
      <w:r>
        <w:t xml:space="preserve">, khẳng định sai lệch xuất bản không thể bác bỏ hoàn toàn kết quả tổng hợp. Tổng hợp lại, bằng chứng về sai lệch xuất bản được xác nhận qua kiểm định Begg–Mazumdar có ý nghĩa (</w:t>
      </w:r>
      <m:oMath>
        <m:r>
          <m:t>p</m:t>
        </m:r>
        <m:r>
          <m:rPr>
            <m:sty m:val="p"/>
          </m:rPr>
          <m:t>=</m:t>
        </m:r>
        <m:r>
          <m:rPr>
            <m:sty m:val="p"/>
          </m:rPr>
          <m:t>,</m:t>
        </m:r>
        <m:r>
          <m:t>0007</m:t>
        </m:r>
      </m:oMath>
      <w:r>
        <w:t xml:space="preserve">): hiệu ứng tổng hợp thực</w:t>
      </w:r>
      <w:r>
        <w:t xml:space="preserve"> </w:t>
      </w:r>
      <m:oMath>
        <m:r>
          <m:t>r</m:t>
        </m:r>
        <m:r>
          <m:rPr>
            <m:sty m:val="p"/>
          </m:rPr>
          <m:t>=</m:t>
        </m:r>
        <m:r>
          <m:t>0</m:t>
        </m:r>
        <m:r>
          <m:rPr>
            <m:sty m:val="p"/>
          </m:rPr>
          <m:t>,</m:t>
        </m:r>
        <m:r>
          <m:t>074</m:t>
        </m:r>
      </m:oMath>
      <w:r>
        <w:t xml:space="preserve"> </w:t>
      </w:r>
      <w:r>
        <w:t xml:space="preserve">có thể bị thổi phồng so với hiệu ứng dân số thực, với một ước lượng bảo thủ hơn là</w:t>
      </w:r>
      <w:r>
        <w:t xml:space="preserve"> </w:t>
      </w:r>
      <m:oMath>
        <m:r>
          <m:t>r</m:t>
        </m:r>
        <m:r>
          <m:rPr>
            <m:sty m:val="p"/>
          </m:rPr>
          <m:t>=</m:t>
        </m:r>
        <m:r>
          <m:t>0</m:t>
        </m:r>
        <m:r>
          <m:rPr>
            <m:sty m:val="p"/>
          </m:rPr>
          <m:t>,</m:t>
        </m:r>
        <m:r>
          <m:t>035</m:t>
        </m:r>
      </m:oMath>
      <w:r>
        <w:t xml:space="preserve">.</w:t>
      </w:r>
    </w:p>
    <w:p>
      <w:r>
        <w:pict>
          <v:rect style="width:0;height:1.5pt" o:hralign="center" o:hrstd="t" o:hr="t"/>
        </w:pict>
      </w:r>
    </w:p>
    <w:bookmarkEnd w:id="24"/>
    <w:bookmarkEnd w:id="25"/>
    <w:bookmarkStart w:id="29" w:name="Xb124998e2d79929aa6018013056e405cd1ddcd5"/>
    <w:p>
      <w:pPr>
        <w:pStyle w:val="Heading2"/>
      </w:pPr>
      <w:r>
        <w:t xml:space="preserve">4.2 Kết quả bối cảnh thể chế tiên tiến — Đổi mới: Singapore (Singapore)</w:t>
      </w:r>
    </w:p>
    <w:bookmarkStart w:id="26" w:name="xác-nhận-quan-hệ-phi-tuyến-chữ-u-ngược"/>
    <w:p>
      <w:pPr>
        <w:pStyle w:val="Heading3"/>
      </w:pPr>
      <w:r>
        <w:t xml:space="preserve">4.2.1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237</m:t>
        </m:r>
      </m:oMath>
      <w:r>
        <w:t xml:space="preserve"> </w:t>
      </w:r>
      <w:r>
        <w:t xml:space="preserve">doanh nghiệp xuất khẩu xác nhận quan hệ phi tuyến dạng chữ U ngược giữa FSTS và hiệu quả hoạt động ở mức có ý nghĩa thống kê (</w:t>
      </w:r>
      <m:oMath>
        <m:r>
          <m:t>p</m:t>
        </m:r>
        <m:r>
          <m:rPr>
            <m:sty m:val="p"/>
          </m:rPr>
          <m:t>&lt;</m:t>
        </m:r>
        <m:r>
          <m:rPr>
            <m:sty m:val="p"/>
          </m:rPr>
          <m:t>,</m:t>
        </m:r>
        <m:r>
          <m:t>05</m:t>
        </m:r>
      </m:oMath>
      <w:r>
        <w:t xml:space="preserve">).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uốn (turning point) được ước lượng ở mức</w:t>
      </w:r>
      <w:r>
        <w:t xml:space="preserve"> </w:t>
      </w:r>
      <w:r>
        <w:rPr>
          <w:bCs/>
          <w:b/>
        </w:rPr>
        <w:t xml:space="preserve">TP ≈ 82% FSTS</w:t>
      </w:r>
      <w:r>
        <w:t xml:space="preserve">, cao nhất trong tất cả các bối cảnh ICRV được phân tích. Khoảng tin cậy của điểm uốn khá rộng (CI: [53%, 253%]), phản ánh hạn chế về quy mô mẫu và độ chính xác thống kê. Tuy vậy, điểm ước lượng trung tâm cho thấy doanh nghiệp Singapore có thể duy trì đà tăng trưởng hiệu quả khi quốc tế hóa ở mức rất cao trước khi đạt đỉnh và suy giảm. Điều này nhất quán với lợi thế thể chế đặc thù của Singapore: nền kinh tế mở, hệ thống pháp lý mạnh, cơ sở hạ tầng thương mại hàng đầu thế giới, cùng mạng lưới hiệp định thương mại tự do rộng khắp giúp giảm chi phí giao dịch xuyên biên giới.</w:t>
      </w:r>
    </w:p>
    <w:bookmarkEnd w:id="26"/>
    <w:bookmarkStart w:id="27" w:name="điều-tiết-bởi-digital-adoption-index-dai"/>
    <w:p>
      <w:pPr>
        <w:pStyle w:val="Heading3"/>
      </w:pPr>
      <w:r>
        <w:t xml:space="preserve">4.2.2 Điều tiết bởi Digital Adoption Index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(gồm cả Tier-1 và Tier-2 của chỉ số DAI) cho thấy hiệu ứng khuếch đại tại mức FSTS cao: hệ số tương tác</w:t>
      </w:r>
      <w:r>
        <w:t xml:space="preserve"> </w:t>
      </w:r>
      <m:oMath>
        <m:r>
          <m:t>F</m:t>
        </m:r>
        <m:r>
          <m:t>S</m:t>
        </m:r>
        <m:r>
          <m:t>T</m:t>
        </m:r>
        <m:sSup>
          <m:e>
            <m:r>
              <m:t>S</m:t>
            </m:r>
          </m:e>
          <m:sup>
            <m:r>
              <m:t>2</m:t>
            </m:r>
          </m:sup>
        </m:sSup>
        <m:r>
          <m:rPr>
            <m:sty m:val="p"/>
          </m:rPr>
          <m:t>×</m:t>
        </m:r>
        <m:r>
          <m:t>D</m:t>
        </m:r>
        <m:r>
          <m:t>A</m:t>
        </m:r>
        <m:r>
          <m:t>I</m:t>
        </m:r>
        <m:r>
          <m:rPr>
            <m:sty m:val="p"/>
          </m:rPr>
          <m:t>&lt;</m:t>
        </m:r>
        <m:r>
          <m:t>0</m:t>
        </m:r>
      </m:oMath>
      <w:r>
        <w:t xml:space="preserve"> </w:t>
      </w:r>
      <w:r>
        <w:t xml:space="preserve">và có ý nghĩa thống kê (</w:t>
      </w:r>
      <m:oMath>
        <m:r>
          <m:t>p</m:t>
        </m:r>
        <m:r>
          <m:rPr>
            <m:sty m:val="p"/>
          </m:rPr>
          <m:t>&lt;</m:t>
        </m:r>
        <m:r>
          <m:rPr>
            <m:sty m:val="p"/>
          </m:rPr>
          <m:t>,</m:t>
        </m:r>
        <m:r>
          <m:t>05</m:t>
        </m:r>
      </m:oMath>
      <w:r>
        <w:t xml:space="preserve">). Cụ thể, ở mức độ quốc tế hóa cao, doanh nghiệp Singapore có mức độ chấp nhận số cao hơn duy trì hiệu quả tốt hơn so với doanh nghiệp có DAI thấp. Điều này cho thấy DAI đóng vai trò một nguồn lực tình huống làm chậm đà suy giảm ở phía bên phải của đường phi tuyến.</w:t>
      </w:r>
    </w:p>
    <w:p>
      <w:pPr>
        <w:pStyle w:val="BodyText"/>
      </w:pPr>
      <w:r>
        <w:t xml:space="preserve">Kết quả này mang ý nghĩa lý thuyết quan trọng: trong bối cảnh Advanced Innovation (Nhóm I), nơi cơ sở hạ tầng số đã phát triển đầy đủ, DAI phát huy vai trò điều tiết đáng kể trong quá trình quốc tế hóa. Kết quả phân tích đa quốc gia (45 nền kinh tế) sau đó xác nhận DAI có hiệu ứng nâng mặt bằng phổ quát (β=+0,172***) cùng cơ chế</w:t>
      </w:r>
      <w:r>
        <w:t xml:space="preserve"> </w:t>
      </w:r>
      <w:r>
        <w:t xml:space="preserve">“</w:t>
      </w:r>
      <w:r>
        <w:t xml:space="preserve">lá chắn số</w:t>
      </w:r>
      <w:r>
        <w:t xml:space="preserve">”</w:t>
      </w:r>
      <w:r>
        <w:t xml:space="preserve">: DAI×ICRV p=.049, mạnh nhất tại các bối cảnh thể chế yếu (Frontier/SIDS) chứ không riêng nhóm Advanced.</w:t>
      </w:r>
    </w:p>
    <w:bookmarkEnd w:id="27"/>
    <w:bookmarkStart w:id="28" w:name="giới-hạn-suy-luận-và-cảnh-báo-thống-kê"/>
    <w:p>
      <w:pPr>
        <w:pStyle w:val="Heading3"/>
      </w:pPr>
      <w:r>
        <w:t xml:space="preserve">4.2.3 Giới hạn suy luận và cảnh báo thống kê</w:t>
      </w:r>
    </w:p>
    <w:p>
      <w:pPr>
        <w:pStyle w:val="FirstParagraph"/>
      </w:pPr>
      <w:r>
        <w:t xml:space="preserve">Cần nhấn mạnh rằng kết quả Singapore chỉ là</w:t>
      </w:r>
      <w:r>
        <w:t xml:space="preserve"> </w:t>
      </w:r>
      <w:r>
        <w:rPr>
          <w:bCs/>
          <w:b/>
        </w:rPr>
        <w:t xml:space="preserve">ranh giới suy luận</w:t>
      </w:r>
      <w:r>
        <w:t xml:space="preserve"> </w:t>
      </w:r>
      <w:r>
        <w:t xml:space="preserve">(inferential bounds) do hạn chế nghiêm trọng về quy mô mẫu:</w:t>
      </w:r>
      <w:r>
        <w:t xml:space="preserve"> </w:t>
      </w:r>
      <m:oMath>
        <m:r>
          <m:t>N</m:t>
        </m:r>
        <m:r>
          <m:rPr>
            <m:sty m:val="p"/>
          </m:rPr>
          <m:t>=</m:t>
        </m:r>
        <m:r>
          <m:t>237</m:t>
        </m:r>
      </m:oMath>
      <w:r>
        <w:t xml:space="preserve"> </w:t>
      </w:r>
      <w:r>
        <w:t xml:space="preserve">quan sát, chỉ gồm các doanh nghiệp xuất khẩu, khiến công suất thống kê ước tính chỉ đạt khoảng 16%. Nói cách khác, ngay cả khi hiệu ứng thực sự tồn tại, khả năng phát hiện nó với một mẫu nhỏ như vậy là rất hạn chế. Luận án này diễn giải kết quả Singapore như</w:t>
      </w:r>
      <w:r>
        <w:t xml:space="preserve"> </w:t>
      </w:r>
      <w:r>
        <w:rPr>
          <w:iCs/>
          <w:i/>
        </w:rPr>
        <w:t xml:space="preserve">bằng chứng tương thích nhưng chưa đủ công suất</w:t>
      </w:r>
      <w:r>
        <w:t xml:space="preserve"> </w:t>
      </w:r>
      <w:r>
        <w:t xml:space="preserve">(consistent but underpowered evidence): không bác bỏ giả thuyết, song cũng chưa thể xác nhận dứt khoát.</w:t>
      </w:r>
    </w:p>
    <w:p>
      <w:r>
        <w:pict>
          <v:rect style="width:0;height:1.5pt" o:hralign="center" o:hrstd="t" o:hr="t"/>
        </w:pict>
      </w:r>
    </w:p>
    <w:bookmarkEnd w:id="28"/>
    <w:bookmarkEnd w:id="29"/>
    <w:bookmarkStart w:id="33" w:name="X6edb9ae80b7d847640f4e694254852942ad5dcb"/>
    <w:p>
      <w:pPr>
        <w:pStyle w:val="Heading2"/>
      </w:pPr>
      <w:r>
        <w:t xml:space="preserve">4.3 Kết quả bối cảnh thể chế trung bình cao: Trung Quốc, 2012–2024 (Trung Quốc)</w:t>
      </w:r>
    </w:p>
    <w:bookmarkStart w:id="30" w:name="xác-nhận-quan-hệ-phi-tuyến-và-điểm-uốn"/>
    <w:p>
      <w:pPr>
        <w:pStyle w:val="Heading3"/>
      </w:pPr>
      <w:r>
        <w:t xml:space="preserve">4.3.1 Xác nhận quan hệ phi tuyến và điểm uốn</w:t>
      </w:r>
    </w:p>
    <w:p>
      <w:pPr>
        <w:pStyle w:val="FirstParagraph"/>
      </w:pPr>
      <w:r>
        <w:t xml:space="preserve">Phân tích hai giai đoạn trên dữ liệu WBES Trung Quốc (Nhóm III — Upper-middle) trong giai đoạn 2012–2024 xác nhận dạng quan hệ phi tuyến chữ U ngược giữa FSTS và hiệu quả hoạt động doanh nghiệp. Điểm uốn được ước lượng tại:</w:t>
      </w:r>
    </w:p>
    <w:p>
      <w:pPr>
        <w:numPr>
          <w:ilvl w:val="0"/>
          <w:numId w:val="1002"/>
        </w:numPr>
        <w:pStyle w:val="Compact"/>
      </w:pPr>
      <w:r>
        <w:rPr>
          <w:bCs/>
          <w:b/>
        </w:rPr>
        <w:t xml:space="preserve">Năm 2012</w:t>
      </w:r>
      <w:r>
        <w:t xml:space="preserve">: TP = 49,37% FSTS</w:t>
      </w:r>
    </w:p>
    <w:p>
      <w:pPr>
        <w:numPr>
          <w:ilvl w:val="0"/>
          <w:numId w:val="1002"/>
        </w:numPr>
        <w:pStyle w:val="Compact"/>
      </w:pPr>
      <w:r>
        <w:rPr>
          <w:bCs/>
          <w:b/>
        </w:rPr>
        <w:t xml:space="preserve">Năm 2024</w:t>
      </w:r>
      <w:r>
        <w:t xml:space="preserve">: TP = 47,19% FSTS</w:t>
      </w:r>
    </w:p>
    <w:p>
      <w:pPr>
        <w:numPr>
          <w:ilvl w:val="0"/>
          <w:numId w:val="1002"/>
        </w:numPr>
        <w:pStyle w:val="Compact"/>
      </w:pPr>
      <w:r>
        <w:rPr>
          <w:bCs/>
          <w:b/>
        </w:rPr>
        <w:t xml:space="preserve">Toàn mẫu (pooled)</w:t>
      </w:r>
      <w:r>
        <w:t xml:space="preserve">: TP = 48,78% FSTS</w:t>
      </w:r>
    </w:p>
    <w:p>
      <w:pPr>
        <w:pStyle w:val="FirstParagraph"/>
      </w:pPr>
      <w:r>
        <w:t xml:space="preserve">Các con số này cho thấy doanh nghiệp Trung Quốc đạt hiệu quả tối ưu khi tỷ lệ doanh thu xuất khẩu ở mức gần 49%, một mức độ tập trung quốc tế vừa phải, trong khi thị trường nội địa khổng lồ vẫn mở ra cơ hội tăng trưởng song song.</w:t>
      </w:r>
    </w:p>
    <w:bookmarkEnd w:id="30"/>
    <w:bookmarkStart w:id="31" w:name="Xe662776ac4ed20d7263c0278e37e5e670eb65fc"/>
    <w:p>
      <w:pPr>
        <w:pStyle w:val="Heading3"/>
      </w:pPr>
      <w:r>
        <w:t xml:space="preserve">4.3.2 Kiểm định tính ổn định theo thời gian — Temporal Stability</w:t>
      </w:r>
    </w:p>
    <w:p>
      <w:pPr>
        <w:pStyle w:val="FirstParagraph"/>
      </w:pPr>
      <w:r>
        <w:t xml:space="preserve">Luận án này đặt một câu hỏi thực nghiệm quan trọng: liệu hình dạng phi tuyến và điểm uốn có thay đổi qua thập kỷ 2012–2024, giai đoạn Trung Quốc chứng kiến nhiều thay đổi chính sách thương mại, căng thẳng địa chính trị và chuyển đổi số mạnh mẽ hay không?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không có ý nghĩa thống kê. Kết quả này xác nhận rằng</w:t>
      </w:r>
      <w:r>
        <w:t xml:space="preserve"> </w:t>
      </w:r>
      <w:r>
        <w:rPr>
          <w:bCs/>
          <w:b/>
        </w:rPr>
        <w:t xml:space="preserve">điểm uốn ổn định qua thời gian</w:t>
      </w:r>
      <w:r>
        <w:t xml:space="preserve">: dịch chuyển từ TP = 49,37% (2012) xuống TP = 47,19% (2024) là không đáng kể về mặt thống kê.</w:t>
      </w:r>
    </w:p>
    <w:p>
      <w:pPr>
        <w:pStyle w:val="BodyText"/>
      </w:pPr>
      <w:r>
        <w:t xml:space="preserve">Kiểm định tương tác theo thời gian (H6 về dị biệt thời gian):</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cũng không có ý nghĩa thống kê, nghĩa là hình dạng tổng thể của quan hệ phi tuyến không biến đổi đáng kể qua giai đoạn phân tích.</w:t>
      </w:r>
    </w:p>
    <w:p>
      <w:pPr>
        <w:pStyle w:val="BodyText"/>
      </w:pPr>
      <w:r>
        <w:t xml:space="preserve">Phát hiện này trái với H6 trong khung lý thuyết, song lại có giá trị riêng. Nó cho thấy ở một bối cảnh Upper-middle như Trung Quốc, dù có nhiều biến động về chính sách và môi trường kinh doanh, cơ chế căn bản của quan hệ giữa quốc tế hóa và hiệu quả hoạt động vẫn duy trì tính ổn định đáng kể. Điều này có thể phản ánh sự bù trừ giữa các lực: chi phí thích ứng tăng lên do chính sách thương mại khó đoán có thể được bù đắp bởi năng lực tổ chức ngày càng trưởng thành của các doanh nghiệp xuất khẩu Trung Quốc.</w:t>
      </w:r>
    </w:p>
    <w:bookmarkEnd w:id="31"/>
    <w:bookmarkStart w:id="32" w:name="vai-trò-của-tci-và-dai"/>
    <w:p>
      <w:pPr>
        <w:pStyle w:val="Heading3"/>
      </w:pPr>
      <w:r>
        <w:t xml:space="preserve">4.3.3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(điều tiết bằng không,</w:t>
      </w:r>
      <w:r>
        <w:t xml:space="preserve"> </w:t>
      </w:r>
      <m:oMath>
        <m:r>
          <m:t>p</m:t>
        </m:r>
        <m:r>
          <m:rPr>
            <m:sty m:val="p"/>
          </m:rPr>
          <m:t>&gt;</m:t>
        </m:r>
        <m:r>
          <m:rPr>
            <m:sty m:val="p"/>
          </m:rPr>
          <m:t>,</m:t>
        </m:r>
        <m:r>
          <m:t>10</m:t>
        </m:r>
      </m:oMath>
      <w:r>
        <w:t xml:space="preserve">), cho thấy chỉ số năng lực công nghệ không phát huy vai trò điều tiết đáng kể ở bối cảnh Trung Quốc theo mô hình phân tích Trung Quốc. DAI cũng không cho thấy điều tiết có ý nghĩa trong bối cảnh này. Kết quả điều tiết bằng không tại Trung Quốc có thể phản ánh thực tế rằng năng lực công nghệ đã được phân phối tương đối đồng đều hơn trong mẫu doanh nghiệp xuất khẩu Trung Quốc, làm giảm phương sai đến mức không đủ để phát hiện hiệu ứng điều tiết.</w:t>
      </w:r>
    </w:p>
    <w:p>
      <w:r>
        <w:pict>
          <v:rect style="width:0;height:1.5pt" o:hralign="center" o:hrstd="t" o:hr="t"/>
        </w:pict>
      </w:r>
    </w:p>
    <w:bookmarkEnd w:id="32"/>
    <w:bookmarkEnd w:id="33"/>
    <w:bookmarkStart w:id="38" w:name="Xa8b3817fbe17e1bec5f1d1210b343ecd4aad824"/>
    <w:p>
      <w:pPr>
        <w:pStyle w:val="Heading2"/>
      </w:pPr>
      <w:r>
        <w:t xml:space="preserve">4.4 Kết quả bối cảnh chuyển đổi bậc thấp—trung: Việt Nam (Việt Nam)</w:t>
      </w:r>
    </w:p>
    <w:bookmarkStart w:id="34" w:name="Xfa9060265c18c079d3fb45cfff0778bcd89c27e"/>
    <w:p>
      <w:pPr>
        <w:pStyle w:val="Heading3"/>
      </w:pPr>
      <w:r>
        <w:t xml:space="preserve">4.4.1 Xác nhận quan hệ phi tuyến và hệ số hồi quy</w:t>
      </w:r>
    </w:p>
    <w:p>
      <w:pPr>
        <w:pStyle w:val="FirstParagraph"/>
      </w:pPr>
      <w:r>
        <w:t xml:space="preserve">Phân tích hồi quy dữ liệu bảng (panel regression) trên ba làn sóng khảo sát WBES Việt Nam (2009, 2015, 2023) xác nhận dạng phi tuyến chữ U ngược. Mô hình M4, tức mô hình chính,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Cả hai hệ số đều có ý nghĩa thống kê: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là bằng chứng thống kê mạnh nhất trong tất cả các mẫu quốc gia của luận án.</w:t>
      </w:r>
    </w:p>
    <w:bookmarkEnd w:id="34"/>
    <w:bookmarkStart w:id="35" w:name="điểm-uốn-theo-làn-sóng"/>
    <w:p>
      <w:pPr>
        <w:pStyle w:val="Heading3"/>
      </w:pPr>
      <w:r>
        <w:t xml:space="preserve">4.4.2 Điểm uốn theo làn sóng</w:t>
      </w:r>
    </w:p>
    <w:p>
      <w:pPr>
        <w:pStyle w:val="FirstParagraph"/>
      </w:pPr>
      <w:r>
        <w:t xml:space="preserve">Điểm uốn được ước lượng riêng cho từng làn sóng và cho toàn mẫu gộp: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Turning Point</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Pooled</w:t>
            </w:r>
          </w:p>
        </w:tc>
        <w:tc>
          <w:tcPr/>
          <w:p>
            <w:pPr>
              <w:pStyle w:val="Compact"/>
              <w:jc w:val="left"/>
            </w:pPr>
            <w:r>
              <w:t xml:space="preserve">39,7% FSTS</w:t>
            </w:r>
          </w:p>
        </w:tc>
      </w:tr>
    </w:tbl>
    <w:p>
      <w:pPr>
        <w:pStyle w:val="BodyText"/>
      </w:pPr>
      <w:r>
        <w:t xml:space="preserve">Điểm uốn trong khoảng</w:t>
      </w:r>
      <w:r>
        <w:t xml:space="preserve"> </w:t>
      </w:r>
      <w:r>
        <w:rPr>
          <w:bCs/>
          <w:b/>
        </w:rPr>
        <w:t xml:space="preserve">39–46% FSTS</w:t>
      </w:r>
      <w:r>
        <w:t xml:space="preserve"> </w:t>
      </w:r>
      <w:r>
        <w:t xml:space="preserve">đặt Việt Nam ở mức thấp hơn đáng kể so với Singapore (TP ≈ 82%), tương đương hoặc thấp hơn Trung Quốc (TP ≈ 48,78%). Điều này phản ánh chi phí quốc tế hóa cao hơn trong bối cảnh thể chế chuyển đổi: môi trường thể chế chưa hoàn thiện, cùng khoảng cách pháp lý và rào cản thông tin lớn hơn, khiến điểm uốn dịch sang trái (thấp hơn) trên trục FSTS.</w:t>
      </w:r>
    </w:p>
    <w:p>
      <w:pPr>
        <w:pStyle w:val="BodyText"/>
      </w:pPr>
      <w:r>
        <w:t xml:space="preserve">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 Đây có thể là dấu hiệu của thay đổi trong cấu trúc doanh nghiệp xuất khẩu Việt Nam sau giai đoạn hội nhập WTO và gia nhập nhiều hiệp định thương mại tự do, kéo theo làn sóng gia công xuất khẩu quy mô lớn nhưng biên lợi nhuận ngày càng cạnh tranh.</w:t>
      </w:r>
    </w:p>
    <w:bookmarkEnd w:id="35"/>
    <w:bookmarkStart w:id="36" w:name="điều-tiết-bởi-tci-tích-cực-và-có-ý-nghĩa"/>
    <w:p>
      <w:pPr>
        <w:pStyle w:val="Heading3"/>
      </w:pPr>
      <w:r>
        <w:t xml:space="preserve">4.4.3 Điều tiết bởi TCI — Tích cực và có ý nghĩa</w:t>
      </w:r>
    </w:p>
    <w:p>
      <w:pPr>
        <w:pStyle w:val="FirstParagraph"/>
      </w:pPr>
      <w:r>
        <w:t xml:space="preserve">Mô hình M6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nâng cao mặt bằng hiệu quả và khuếch đại tác động tích cực của quốc tế hóa. Nói cách khác, doanh nghiệp Việt Nam có năng lực công nghệ tốt hơn (đo bằng TCI) đạt hiệu quả cao hơn từ quá trình quốc tế hóa, nhất quán với H2 trong khung lý thuyết CDCM.</w:t>
      </w:r>
    </w:p>
    <w:bookmarkEnd w:id="36"/>
    <w:bookmarkStart w:id="37" w:name="điều-tiết-bởi-dai-không-có-ý-nghĩa"/>
    <w:p>
      <w:pPr>
        <w:pStyle w:val="Heading3"/>
      </w:pPr>
      <w:r>
        <w:t xml:space="preserve">4.4.4 Điều tiết bởi DAI — Không có ý nghĩa</w:t>
      </w:r>
    </w:p>
    <w:p>
      <w:pPr>
        <w:pStyle w:val="FirstParagraph"/>
      </w:pPr>
      <w:r>
        <w:t xml:space="preserve">Mô hình M5 với tương tác</w:t>
      </w:r>
      <w:r>
        <w:t xml:space="preserve"> </w:t>
      </w:r>
      <m:oMath>
        <m:r>
          <m:t>F</m:t>
        </m:r>
        <m:r>
          <m:t>S</m:t>
        </m:r>
        <m:r>
          <m:t>T</m:t>
        </m:r>
        <m:r>
          <m:t>S</m:t>
        </m:r>
        <m:r>
          <m:rPr>
            <m:sty m:val="p"/>
          </m:rPr>
          <m:t>×</m:t>
        </m:r>
        <m:r>
          <m:t>D</m:t>
        </m:r>
        <m:r>
          <m:t>A</m:t>
        </m:r>
        <m:r>
          <m:t>I</m:t>
        </m:r>
      </m:oMath>
      <w:r>
        <w:t xml:space="preserve"> </w:t>
      </w:r>
      <w:r>
        <w:t xml:space="preserve">(chỉ gồm Tier-1 DAI do giới hạn đo lường WBES trong các làn sóng này) cho kết quả yếu dương nhưng không có ý nghĩa thống kê. Kết quả này không nhất thiết bác bỏ H3 mà có thể phản ánh hạn chế về đo lường: Tier-1 DAI chỉ nắm bắt mức độ chấp nhận số bề mặt (website, thư điện tử, bán hàng trực tuyến) chứ không đo được chiều sâu năng lực số. Với dữ liệu WBES Việt Nam chỉ cung cấp Tier-1, độ phân giải đo lường không đủ để phát hiện hiệu ứng điều tiết tinh tế hơn.</w:t>
      </w:r>
    </w:p>
    <w:p>
      <w:r>
        <w:pict>
          <v:rect style="width:0;height:1.5pt" o:hralign="center" o:hrstd="t" o:hr="t"/>
        </w:pict>
      </w:r>
    </w:p>
    <w:bookmarkEnd w:id="37"/>
    <w:bookmarkEnd w:id="38"/>
    <w:bookmarkStart w:id="42" w:name="X051a113dc725f2c8c1c34c73c5178640a3cd634"/>
    <w:p>
      <w:pPr>
        <w:pStyle w:val="Heading2"/>
      </w:pPr>
      <w:r>
        <w:t xml:space="preserve">4.5 Kết quả kiểm định toàn mẫu đa bối cảnh châu Á (phân tích đa quốc gia 45 nền kinh tế)</w:t>
      </w:r>
    </w:p>
    <w:bookmarkStart w:id="39" w:name="mẫu-và-mô-hình-chính"/>
    <w:p>
      <w:pPr>
        <w:pStyle w:val="Heading3"/>
      </w:pPr>
      <w:r>
        <w:t xml:space="preserve">4.5.1 Mẫu và mô hình chính</w:t>
      </w:r>
    </w:p>
    <w:p>
      <w:pPr>
        <w:pStyle w:val="FirstParagraph"/>
      </w:pPr>
      <w:r>
        <w:t xml:space="preserve">Phân tích phân tích đa quốc gia là kiểm định quy mô lớn nhất của luận án, kết hợp tất cả các bối cảnh ICRV trong khu vực châu Á và Thái Bình Dương với</w:t>
      </w:r>
      <w:r>
        <w:t xml:space="preserve"> </w:t>
      </w:r>
      <m:oMath>
        <m:r>
          <m:t>N</m:t>
        </m:r>
        <m:r>
          <m:rPr>
            <m:sty m:val="p"/>
          </m:rPr>
          <m:t>=</m:t>
        </m:r>
        <m:r>
          <m:t>82.302</m:t>
        </m:r>
      </m:oMath>
      <w:r>
        <w:rPr>
          <w:bCs/>
          <w:b/>
        </w:rPr>
        <w:t xml:space="preserve"> </w:t>
      </w:r>
      <w:r>
        <w:rPr>
          <w:bCs/>
          <w:b/>
        </w:rPr>
        <w:t xml:space="preserve">quan sát</w:t>
      </w:r>
      <w:r>
        <w:t xml:space="preserve"> </w:t>
      </w:r>
      <w:r>
        <w:t xml:space="preserve">(mô hình M2 — FSTS bậc hai). Khi bổ sung đầy đủ biến kiểm soát, mẫu hồi quy còn</w:t>
      </w:r>
      <w:r>
        <w:t xml:space="preserve"> </w:t>
      </w:r>
      <m:oMath>
        <m:r>
          <m:t>N</m:t>
        </m:r>
        <m:r>
          <m:rPr>
            <m:sty m:val="p"/>
          </m:rPr>
          <m:t>=</m:t>
        </m:r>
        <m:r>
          <m:t>36.772</m:t>
        </m:r>
      </m:oMath>
      <w:r>
        <w:t xml:space="preserve"> </w:t>
      </w:r>
      <w:r>
        <w:t xml:space="preserve">(M3–M5). Mô hình M5 với hiệu ứng cố định quốc gia và năm, cấu hình mạnh nhất về kiểm soát phương sai không quan sát (</w:t>
      </w:r>
      <m:oMath>
        <m:sSup>
          <m:e>
            <m:r>
              <m:rPr>
                <m:nor/>
                <m:sty m:val="p"/>
              </m:rPr>
              <m:t>adjR</m:t>
            </m:r>
          </m:e>
          <m:sup>
            <m:r>
              <m:t>2</m:t>
            </m:r>
          </m:sup>
        </m:sSup>
        <m:r>
          <m:rPr>
            <m:sty m:val="p"/>
          </m:rPr>
          <m:t>=</m:t>
        </m:r>
        <m:r>
          <m:rPr>
            <m:sty m:val="p"/>
          </m:rPr>
          <m:t>,</m:t>
        </m:r>
        <m:r>
          <m:t>671</m:t>
        </m:r>
      </m:oMath>
      <w:r>
        <w:t xml:space="preserve">), ước lượng điểm uốn tổng thể:</w:t>
      </w:r>
    </w:p>
    <w:p>
      <w:pPr>
        <w:pStyle w:val="BodyText"/>
      </w:pPr>
      <m:oMathPara>
        <m:oMathParaPr>
          <m:jc m:val="center"/>
        </m:oMathParaPr>
        <m:oMath>
          <m:r>
            <m:rPr>
              <m:nor/>
              <m:sty m:val="p"/>
            </m:rPr>
            <m:t>TP(M5)</m:t>
          </m:r>
          <m:r>
            <m:rPr>
              <m:sty m:val="p"/>
            </m:rPr>
            <m:t>=</m:t>
          </m:r>
          <m:r>
            <m:t>39</m:t>
          </m:r>
          <m:r>
            <m:rPr>
              <m:sty m:val="p"/>
            </m:rPr>
            <m:t>,</m:t>
          </m:r>
          <m:r>
            <m:t>5</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 34,1–39,5% FSTS qua M2–M9, và được xác nhận lại trong mô hình điều tiết ba chiều M11 (</w:t>
      </w:r>
      <m:oMath>
        <m:r>
          <m:rPr>
            <m:nor/>
            <m:sty m:val="p"/>
          </m:rPr>
          <m:t>TP</m:t>
        </m:r>
        <m:r>
          <m:rPr>
            <m:sty m:val="p"/>
          </m:rPr>
          <m:t>=</m:t>
        </m:r>
        <m:r>
          <m:t>25</m:t>
        </m:r>
        <m:r>
          <m:rPr>
            <m:sty m:val="p"/>
          </m:rPr>
          <m:t>,</m:t>
        </m:r>
        <m:r>
          <m:t>7</m:t>
        </m:r>
        <m:r>
          <m:rPr>
            <m:sty m:val="p"/>
          </m:rPr>
          <m:t>%</m:t>
        </m:r>
      </m:oMath>
      <w:r>
        <w:t xml:space="preserve">,</w:t>
      </w:r>
      <w:r>
        <w:t xml:space="preserve"> </w:t>
      </w:r>
      <m:oMath>
        <m:sSub>
          <m:e>
            <m:r>
              <m:t>p</m:t>
            </m:r>
          </m:e>
          <m:sub>
            <m:r>
              <m:rPr>
                <m:nor/>
                <m:sty m:val="p"/>
              </m:rPr>
              <m:t>LM</m:t>
            </m:r>
          </m:sub>
        </m:sSub>
        <m:r>
          <m:rPr>
            <m:sty m:val="p"/>
          </m:rPr>
          <m:t>=</m:t>
        </m:r>
        <m:r>
          <m:rPr>
            <m:sty m:val="p"/>
          </m:rPr>
          <m:t>,</m:t>
        </m:r>
        <m:r>
          <m:t>026</m:t>
        </m:r>
      </m:oMath>
      <w:r>
        <w:t xml:space="preserve">,</w:t>
      </w:r>
      <w:r>
        <w:t xml:space="preserve"> </w:t>
      </w:r>
      <m:oMath>
        <m:r>
          <m:t>N</m:t>
        </m:r>
        <m:r>
          <m:rPr>
            <m:sty m:val="p"/>
          </m:rPr>
          <m:t>=</m:t>
        </m:r>
        <m:r>
          <m:t>28.500</m:t>
        </m:r>
      </m:oMath>
      <w:r>
        <w:t xml:space="preserve">).</w:t>
      </w:r>
    </w:p>
    <w:bookmarkEnd w:id="39"/>
    <w:bookmarkStart w:id="40" w:name="gradient-icrv-xác-nhận-h5"/>
    <w:p>
      <w:pPr>
        <w:pStyle w:val="Heading3"/>
      </w:pPr>
      <w:r>
        <w:t xml:space="preserve">4.5.2 Gradient ICRV — Xác nhận H5</w:t>
      </w:r>
    </w:p>
    <w:p>
      <w:pPr>
        <w:pStyle w:val="FirstParagraph"/>
      </w:pPr>
      <w:r>
        <w:t xml:space="preserve">Kết quả quan trọng nhất của phân tích đa quốc gia là xác nhận vai trò điều tiết của</w:t>
      </w:r>
      <w:r>
        <w:t xml:space="preserve"> </w:t>
      </w:r>
      <w:r>
        <w:rPr>
          <w:bCs/>
          <w:b/>
        </w:rPr>
        <w:t xml:space="preserve">ICRV</w:t>
      </w:r>
      <w:r>
        <w:t xml:space="preserve"> </w:t>
      </w:r>
      <w:r>
        <w:t xml:space="preserve">đối với</w:t>
      </w:r>
      <w:r>
        <w:t xml:space="preserve"> </w:t>
      </w:r>
      <w:r>
        <w:rPr>
          <w:bCs/>
          <w:b/>
        </w:rPr>
        <w:t xml:space="preserve">độ cong (concavity / biên độ)</w:t>
      </w:r>
      <w:r>
        <w:t xml:space="preserve"> </w:t>
      </w:r>
      <w:r>
        <w:t xml:space="preserve">của hình chữ U ngược, chứ không phải một gradient điểm uốn đơn điệu. Cụ thể, độ cong sâu dần khi chất lượng thể chế suy giảm:</w:t>
      </w:r>
    </w:p>
    <w:p>
      <w:pPr>
        <w:pStyle w:val="BodyText"/>
      </w:pPr>
      <m:oMathPara>
        <m:oMathParaPr>
          <m:jc m:val="center"/>
        </m:oMathParaPr>
        <m:oMath>
          <m:r>
            <m:rPr>
              <m:sty m:val="p"/>
            </m:rPr>
            <m:t>|</m:t>
          </m:r>
          <m:r>
            <m:t> </m:t>
          </m:r>
          <m:sSub>
            <m:e>
              <m:r>
                <m:t>β</m:t>
              </m:r>
            </m:e>
            <m:sub>
              <m:r>
                <m:t>2</m:t>
              </m:r>
            </m:sub>
          </m:sSub>
          <m:d>
            <m:dPr>
              <m:begChr m:val="("/>
              <m:endChr m:val=")"/>
              <m:sepChr m:val=""/>
              <m:grow/>
            </m:dPr>
            <m:e>
              <m:r>
                <m:rPr>
                  <m:nor/>
                  <m:sty m:val="p"/>
                </m:rPr>
                <m:t>Frontier/SIDS</m:t>
              </m:r>
            </m:e>
          </m:d>
          <m:r>
            <m:t> </m:t>
          </m:r>
          <m:r>
            <m:rPr>
              <m:sty m:val="p"/>
            </m:rPr>
            <m:t>|</m:t>
          </m:r>
          <m:r>
            <m:rPr>
              <m:sty m:val="p"/>
            </m:rPr>
            <m:t>&gt;</m:t>
          </m:r>
          <m:r>
            <m:rPr>
              <m:sty m:val="p"/>
            </m:rPr>
            <m:t>|</m:t>
          </m:r>
          <m:r>
            <m:t> </m:t>
          </m:r>
          <m:sSub>
            <m:e>
              <m:r>
                <m:t>β</m:t>
              </m:r>
            </m:e>
            <m:sub>
              <m:r>
                <m:t>2</m:t>
              </m:r>
            </m:sub>
          </m:sSub>
          <m:d>
            <m:dPr>
              <m:begChr m:val="("/>
              <m:endChr m:val=")"/>
              <m:sepChr m:val=""/>
              <m:grow/>
            </m:dPr>
            <m:e>
              <m:r>
                <m:rPr>
                  <m:nor/>
                  <m:sty m:val="p"/>
                </m:rPr>
                <m:t>Upper-middle</m:t>
              </m:r>
            </m:e>
          </m:d>
          <m:r>
            <m:t> </m:t>
          </m:r>
          <m:r>
            <m:rPr>
              <m:sty m:val="p"/>
            </m:rPr>
            <m:t>|</m:t>
          </m:r>
          <m:r>
            <m:rPr>
              <m:sty m:val="p"/>
            </m:rPr>
            <m:t>&gt;</m:t>
          </m:r>
          <m:r>
            <m:rPr>
              <m:sty m:val="p"/>
            </m:rPr>
            <m:t>|</m:t>
          </m:r>
          <m:r>
            <m:t> </m:t>
          </m:r>
          <m:sSub>
            <m:e>
              <m:r>
                <m:t>β</m:t>
              </m:r>
            </m:e>
            <m:sub>
              <m:r>
                <m:t>2</m:t>
              </m:r>
            </m:sub>
          </m:sSub>
          <m:d>
            <m:dPr>
              <m:begChr m:val="("/>
              <m:endChr m:val=")"/>
              <m:sepChr m:val=""/>
              <m:grow/>
            </m:dPr>
            <m:e>
              <m:r>
                <m:rPr>
                  <m:nor/>
                  <m:sty m:val="p"/>
                </m:rPr>
                <m:t>Advanced Innovation</m:t>
              </m:r>
            </m:e>
          </m:d>
          <m:r>
            <m:t> </m:t>
          </m:r>
          <m:r>
            <m:rPr>
              <m:sty m:val="p"/>
            </m:rPr>
            <m:t>|</m:t>
          </m:r>
        </m:oMath>
      </m:oMathPara>
    </w:p>
    <w:p>
      <w:pPr>
        <w:pStyle w:val="FirstParagraph"/>
      </w:pPr>
      <w:r>
        <w:t xml:space="preserve">Khuôn mẫu này nhất quán với dự đoán từ lý thuyết thể chế: trong môi trường thể chế mạnh (Nhóm I), đường cong phẳng và gần tuyến tính nên tổn thất sau đỉnh nhỏ. Tại các nền kinh tế thể chế yếu (Nhóm V–VI), đường cong cong sâu hơn nên hình phạt cho quốc tế hóa quá mức trở nên gay gắt hơn. Điểm uốn theo nhóm là không đồng nhất (khoảng 16–50% FSTS), cụm quanh ~40% và</w:t>
      </w:r>
      <w:r>
        <w:t xml:space="preserve"> </w:t>
      </w:r>
      <w:r>
        <w:rPr>
          <w:bCs/>
          <w:b/>
        </w:rPr>
        <w:t xml:space="preserve">không</w:t>
      </w:r>
      <w:r>
        <w:t xml:space="preserve"> </w:t>
      </w:r>
      <w:r>
        <w:t xml:space="preserve">dịch chuyển đơn điệu theo chất lượng thể chế.</w:t>
      </w:r>
    </w:p>
    <w:p>
      <w:pPr>
        <w:pStyle w:val="BodyText"/>
      </w:pPr>
      <w:r>
        <w:t xml:space="preserve">Kiểm định điều tiết tổng thể</w:t>
      </w:r>
      <w:r>
        <w:t xml:space="preserve"> </w:t>
      </w:r>
      <m:oMath>
        <m:sSub>
          <m:e>
            <m:r>
              <m:t>Q</m:t>
            </m:r>
          </m:e>
          <m:sub>
            <m:r>
              <m:t>M</m:t>
            </m:r>
          </m:sub>
        </m:sSub>
      </m:oMath>
      <w:r>
        <w:t xml:space="preserve"> </w:t>
      </w:r>
      <w:r>
        <w:t xml:space="preserve">về ICRV có ý nghĩa thống kê cao, nhất quán với kết quả phân tích tổng hợp trong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Hai nguồn bằng chứng độc lập, gồm phân tích tổng hợp và phân tích thực nghiệm sơ cấp, cùng chỉ ra gradient ICRV, tạo ra một sự xác nhận chéo độc lập có giá trị.</w:t>
      </w:r>
    </w:p>
    <w:bookmarkEnd w:id="40"/>
    <w:bookmarkStart w:id="41" w:name="điều-tiết-bởi-tci-và-dai-trong-toàn-mẫu"/>
    <w:p>
      <w:pPr>
        <w:pStyle w:val="Heading3"/>
      </w:pPr>
      <w:r>
        <w:t xml:space="preserve">4.5.3 Điều tiết bởi TCI và DAI trong toàn mẫu</w:t>
      </w:r>
    </w:p>
    <w:p>
      <w:pPr>
        <w:numPr>
          <w:ilvl w:val="0"/>
          <w:numId w:val="1003"/>
        </w:numPr>
        <w:pStyle w:val="Compact"/>
      </w:pPr>
      <w:r>
        <w:rPr>
          <w:bCs/>
          <w:b/>
        </w:rPr>
        <w:t xml:space="preserve">TCI</w:t>
      </w:r>
      <w:r>
        <w:t xml:space="preserve">: có ý nghĩa thống kê dương trên toàn mẫu (nâng năng suất khoảng 41% mỗi đơn vị độ lệch chuẩn). Dù vậy, tương tác FSTS×TCI và FSTS²×TCI</w:t>
      </w:r>
      <w:r>
        <w:t xml:space="preserve"> </w:t>
      </w:r>
      <w:r>
        <w:rPr>
          <w:bCs/>
          <w:b/>
        </w:rPr>
        <w:t xml:space="preserve">không có ý nghĩa</w:t>
      </w:r>
      <w:r>
        <w:t xml:space="preserve"> </w:t>
      </w:r>
      <w:r>
        <w:t xml:space="preserve">trên toàn mẫu 45 nền kinh tế. H2 được</w:t>
      </w:r>
      <w:r>
        <w:t xml:space="preserve"> </w:t>
      </w:r>
      <w:r>
        <w:rPr>
          <w:bCs/>
          <w:b/>
        </w:rPr>
        <w:t xml:space="preserve">xác nhận một phần</w:t>
      </w:r>
      <w:r>
        <w:t xml:space="preserve">: TCI là yếu tố nâng mặt bằng năng suất phổ quát, còn vai trò uốn đường cong lại đặc thù theo bối cảnh (chỉ xuất hiện tại phân tích Việt Nam).</w:t>
      </w:r>
    </w:p>
    <w:p>
      <w:pPr>
        <w:numPr>
          <w:ilvl w:val="0"/>
          <w:numId w:val="1003"/>
        </w:numPr>
        <w:pStyle w:val="Compact"/>
      </w:pPr>
      <w:r>
        <w:rPr>
          <w:bCs/>
          <w:b/>
        </w:rPr>
        <w:t xml:space="preserve">DAI</w:t>
      </w:r>
      <w:r>
        <w:t xml:space="preserve">: có hiệu ứng trực tiếp dương và có ý nghĩa trên</w:t>
      </w:r>
      <w:r>
        <w:t xml:space="preserve"> </w:t>
      </w:r>
      <w:r>
        <w:rPr>
          <w:bCs/>
          <w:b/>
        </w:rPr>
        <w:t xml:space="preserve">toàn mẫu</w:t>
      </w:r>
      <w:r>
        <w:t xml:space="preserve"> </w:t>
      </w:r>
      <w:r>
        <w:t xml:space="preserve">(</w:t>
      </w:r>
      <m:oMath>
        <m:acc>
          <m:accPr>
            <m:chr m:val="̂"/>
          </m:accPr>
          <m:e>
            <m:r>
              <m:t>β</m:t>
            </m:r>
          </m:e>
        </m:acc>
        <m:r>
          <m:rPr>
            <m:sty m:val="p"/>
          </m:rPr>
          <m:t>=</m:t>
        </m:r>
        <m:r>
          <m:rPr>
            <m:sty m:val="p"/>
          </m:rPr>
          <m:t>+</m:t>
        </m:r>
        <m:r>
          <m:t>0</m:t>
        </m:r>
        <m:r>
          <m:rPr>
            <m:sty m:val="p"/>
          </m:rPr>
          <m:t>,</m:t>
        </m:r>
        <m:r>
          <m:t>172</m:t>
        </m:r>
      </m:oMath>
      <w:r>
        <w:t xml:space="preserve">,</w:t>
      </w:r>
      <w:r>
        <w:t xml:space="preserve"> </w:t>
      </w:r>
      <m:oMath>
        <m:r>
          <m:t>p</m:t>
        </m:r>
        <m:r>
          <m:rPr>
            <m:sty m:val="p"/>
          </m:rPr>
          <m:t>&lt;</m:t>
        </m:r>
        <m:r>
          <m:rPr>
            <m:sty m:val="p"/>
          </m:rPr>
          <m:t>,</m:t>
        </m:r>
        <m:r>
          <m:t>001</m:t>
        </m:r>
      </m:oMath>
      <w:r>
        <w:t xml:space="preserve">, lợi thế năng suất khoảng 19%). Cả hai tương tác điều tiết đều có ý nghĩa:</w:t>
      </w:r>
      <w:r>
        <w:t xml:space="preserve">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588</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726</m:t>
        </m:r>
      </m:oMath>
      <w:r>
        <w:t xml:space="preserve"> </w:t>
      </w:r>
      <w:r>
        <w:t xml:space="preserve">(</w:t>
      </w:r>
      <m:oMath>
        <m:r>
          <m:t>p</m:t>
        </m:r>
        <m:r>
          <m:rPr>
            <m:sty m:val="p"/>
          </m:rPr>
          <m:t>&lt;</m:t>
        </m:r>
        <m:r>
          <m:rPr>
            <m:sty m:val="p"/>
          </m:rPr>
          <m:t>,</m:t>
        </m:r>
        <m:r>
          <m:t>01</m:t>
        </m:r>
      </m:oMath>
      <w:r>
        <w:t xml:space="preserve">). DAI×ICRV (</w:t>
      </w:r>
      <m:oMath>
        <m:r>
          <m:t>p</m:t>
        </m:r>
        <m:r>
          <m:rPr>
            <m:sty m:val="p"/>
          </m:rPr>
          <m:t>=</m:t>
        </m:r>
        <m:r>
          <m:rPr>
            <m:sty m:val="p"/>
          </m:rPr>
          <m:t>,</m:t>
        </m:r>
        <m:r>
          <m:t>049</m:t>
        </m:r>
      </m:oMath>
      <w:r>
        <w:t xml:space="preserve">) xác nhận DAI phát huy hiệu quả mạnh hơn ở các bối cảnh thể chế yếu hơn, nhất quán với CDCM (DAI bù đắp cho khoảng trống thể chế).</w:t>
      </w:r>
    </w:p>
    <w:p>
      <w:pPr>
        <w:pStyle w:val="FirstParagraph"/>
      </w:pPr>
      <w:r>
        <w:t xml:space="preserve">Kết quả phân tích đa quốc gia vẽ nên một bức tranh tổng thể quan trọng: DAI là hiệu ứng phổ quát trên toàn mẫu, nhưng</w:t>
      </w:r>
      <w:r>
        <w:t xml:space="preserve"> </w:t>
      </w:r>
      <w:r>
        <w:rPr>
          <w:bCs/>
          <w:b/>
        </w:rPr>
        <w:t xml:space="preserve">cơ chế cụ thể</w:t>
      </w:r>
      <w:r>
        <w:t xml:space="preserve"> </w:t>
      </w:r>
      <w:r>
        <w:t xml:space="preserve">(mức độ và hướng điều tiết đường cong) lại phụ thuộc vào bối cảnh ICRV, nhất quán với luận điểm CDCM về nguồn lực tình huống.</w:t>
      </w:r>
    </w:p>
    <w:p>
      <w:r>
        <w:pict>
          <v:rect style="width:0;height:1.5pt" o:hralign="center" o:hrstd="t" o:hr="t"/>
        </w:pict>
      </w:r>
    </w:p>
    <w:bookmarkEnd w:id="41"/>
    <w:bookmarkEnd w:id="42"/>
    <w:bookmarkStart w:id="46" w:name="X9a320625732781af5e62d3803f9cebc6028ac8f"/>
    <w:p>
      <w:pPr>
        <w:pStyle w:val="Heading2"/>
      </w:pPr>
      <w:r>
        <w:t xml:space="preserve">4.6 Kết quả trường hợp biên SIDS — Các nền kinh tế đảo nhỏ đang phát triển (SIDS)</w:t>
      </w:r>
    </w:p>
    <w:bookmarkStart w:id="43" w:name="đặc-điểm-mẫu-sids"/>
    <w:p>
      <w:pPr>
        <w:pStyle w:val="Heading3"/>
      </w:pPr>
      <w:r>
        <w:t xml:space="preserve">4.6.1 Đặc điểm mẫu SIDS</w:t>
      </w:r>
    </w:p>
    <w:p>
      <w:pPr>
        <w:pStyle w:val="FirstParagraph"/>
      </w:pPr>
      <w:r>
        <w:t xml:space="preserve">Phân tích phân tích SIDS Thái Bình Dương tập trung vào chín quốc gia SIDS Thái Bình Dương (Pacific Small Island Developing States — Nhóm VI) với tổng</w:t>
      </w:r>
      <w:r>
        <w:t xml:space="preserve"> </w:t>
      </w:r>
      <m:oMath>
        <m:r>
          <m:t>N</m:t>
        </m:r>
        <m:r>
          <m:rPr>
            <m:sty m:val="p"/>
          </m:rPr>
          <m:t>=</m:t>
        </m:r>
        <m:r>
          <m:t>1.469</m:t>
        </m:r>
      </m:oMath>
      <w:r>
        <w:t xml:space="preserve"> </w:t>
      </w:r>
      <w:r>
        <w:t xml:space="preserve">doanh nghiệp, trong đó chỉ có</w:t>
      </w:r>
      <w:r>
        <w:t xml:space="preserve"> </w:t>
      </w:r>
      <m:oMath>
        <m:sSub>
          <m:e>
            <m:r>
              <m:t>N</m:t>
            </m:r>
          </m:e>
          <m:sub>
            <m:r>
              <m:rPr>
                <m:nor/>
                <m:sty m:val="p"/>
              </m:rPr>
              <m:t>exporters</m:t>
            </m:r>
          </m:sub>
        </m:sSub>
        <m:r>
          <m:rPr>
            <m:sty m:val="p"/>
          </m:rPr>
          <m:t>=</m:t>
        </m:r>
        <m:r>
          <m:t>187</m:t>
        </m:r>
      </m:oMath>
      <w:r>
        <w:t xml:space="preserve"> </w:t>
      </w:r>
      <w:r>
        <w:t xml:space="preserve">(chiếm 12,7% mẫu). Tỷ lệ doanh thu xuất khẩu trung bình rất thấp: FSTS trung bình = 0,060 (6,0%). Cấu trúc mẫu này phản ánh thực tế kinh tế của các nền kinh tế SIDS: thị trường nội địa nhỏ, nên xuất khẩu không phải là lựa chọn chiến lược chủ động mà thường là phản ứng trước áp lực từ bên ngoài khi nhu cầu nội địa bị giới hạn.</w:t>
      </w:r>
    </w:p>
    <w:bookmarkEnd w:id="43"/>
    <w:bookmarkStart w:id="44" w:name="X305be4308b12f06c15c4aa0bf75053d865f81d7"/>
    <w:p>
      <w:pPr>
        <w:pStyle w:val="Heading3"/>
      </w:pPr>
      <w:r>
        <w:t xml:space="preserve">4.6.2 Hiệu ứng âm đơn điệu — Forced Internationalization Penalty (FIP)</w:t>
      </w:r>
    </w:p>
    <w:p>
      <w:pPr>
        <w:pStyle w:val="FirstParagraph"/>
      </w:pPr>
      <w:r>
        <w:t xml:space="preserve">Đây là phát hiện nổi bật và khác biệt nhất của luận án so với toàn bộ kết quả từ các bối cảnh ICRV khác. Mô hình M1 với hiệu ứng cố định quốc gia và năm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404</m:t>
          </m:r>
          <m:r>
            <m:rPr>
              <m:sty m:val="p"/>
            </m:rPr>
            <m:t>,</m:t>
          </m:r>
          <m:r>
            <m:t> </m:t>
          </m:r>
          <m:r>
            <m:t>S</m:t>
          </m:r>
          <m:r>
            <m:t>E</m:t>
          </m:r>
          <m:r>
            <m:rPr>
              <m:sty m:val="p"/>
            </m:rPr>
            <m:t>=</m:t>
          </m:r>
          <m:r>
            <m:t>0</m:t>
          </m:r>
          <m:r>
            <m:rPr>
              <m:sty m:val="p"/>
            </m:rPr>
            <m:t>,</m:t>
          </m:r>
          <m:r>
            <m:t>188</m:t>
          </m:r>
          <m:r>
            <m:rPr>
              <m:sty m:val="p"/>
            </m:rPr>
            <m:t>,</m:t>
          </m:r>
          <m:r>
            <m:t> </m:t>
          </m:r>
          <m:r>
            <m:t>p</m:t>
          </m:r>
          <m:r>
            <m:rPr>
              <m:sty m:val="p"/>
            </m:rPr>
            <m:t>=</m:t>
          </m:r>
          <m:r>
            <m:rPr>
              <m:sty m:val="p"/>
            </m:rPr>
            <m:t>,</m:t>
          </m:r>
          <m:sSup>
            <m:e>
              <m:r>
                <m:t>032</m:t>
              </m:r>
            </m:e>
            <m:sup>
              <m:r>
                <m:rPr>
                  <m:sty m:val="p"/>
                </m:rPr>
                <m:t>*</m:t>
              </m:r>
            </m:sup>
          </m:sSup>
        </m:oMath>
      </m:oMathPara>
    </w:p>
    <w:p>
      <w:pPr>
        <w:pStyle w:val="FirstParagraph"/>
      </w:pPr>
      <w:r>
        <w:t xml:space="preserve">Hệ số hồi quy âm và có ý nghĩa thống kê cho thấy tại các nền kinh tế SIDS, quốc tế hóa càng cao thì hiệu quả hoạt động doanh nghiệp càng</w:t>
      </w:r>
      <w:r>
        <w:t xml:space="preserve"> </w:t>
      </w:r>
      <w:r>
        <w:rPr>
          <w:bCs/>
          <w:b/>
        </w:rPr>
        <w:t xml:space="preserve">thấp hơn</w:t>
      </w:r>
      <w:r>
        <w:t xml:space="preserve">, tức một quan hệ âm đơn điệu. Kết quả này không đi theo dạng chữ U ngược hay đường chữ S như ở mọi bối cảnh khác.</w:t>
      </w:r>
    </w:p>
    <w:p>
      <w:pPr>
        <w:pStyle w:val="BodyText"/>
      </w:pPr>
      <w:r>
        <w:t xml:space="preserve">Trong mẫu chỉ gồm doanh nghiệp đang xuất khẩu, hệ số âm còn mạnh hơn:</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901</m:t>
          </m:r>
          <m:r>
            <m:rPr>
              <m:sty m:val="p"/>
            </m:rPr>
            <m:t>,</m:t>
          </m:r>
          <m:r>
            <m:t> </m:t>
          </m:r>
          <m:r>
            <m:t>S</m:t>
          </m:r>
          <m:r>
            <m:t>E</m:t>
          </m:r>
          <m:r>
            <m:rPr>
              <m:sty m:val="p"/>
            </m:rPr>
            <m:t>=</m:t>
          </m:r>
          <m:r>
            <m:t>0</m:t>
          </m:r>
          <m:r>
            <m:rPr>
              <m:sty m:val="p"/>
            </m:rPr>
            <m:t>,</m:t>
          </m:r>
          <m:r>
            <m:t>398</m:t>
          </m:r>
          <m:r>
            <m:rPr>
              <m:sty m:val="p"/>
            </m:rPr>
            <m:t>,</m:t>
          </m:r>
          <m:r>
            <m:t> </m:t>
          </m:r>
          <m:r>
            <m:t>p</m:t>
          </m:r>
          <m:r>
            <m:rPr>
              <m:sty m:val="p"/>
            </m:rPr>
            <m:t>=</m:t>
          </m:r>
          <m:r>
            <m:rPr>
              <m:sty m:val="p"/>
            </m:rPr>
            <m:t>,</m:t>
          </m:r>
          <m:sSup>
            <m:e>
              <m:r>
                <m:t>027</m:t>
              </m:r>
            </m:e>
            <m:sup>
              <m:r>
                <m:rPr>
                  <m:sty m:val="p"/>
                </m:rPr>
                <m:t>*</m:t>
              </m:r>
            </m:sup>
          </m:sSup>
        </m:oMath>
      </m:oMathPara>
    </w:p>
    <w:p>
      <w:pPr>
        <w:pStyle w:val="FirstParagraph"/>
      </w:pPr>
      <w:r>
        <w:t xml:space="preserve">Với mô hình chỉ có hiệu ứng cố định năm (không có hiệu ứng cố định quốc gia, dùng để kiểm tra độ vững):</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236</m:t>
          </m:r>
          <m:r>
            <m:rPr>
              <m:sty m:val="p"/>
            </m:rPr>
            <m:t>,</m:t>
          </m:r>
          <m:r>
            <m:t> </m:t>
          </m:r>
          <m:r>
            <m:t>p</m:t>
          </m:r>
          <m:r>
            <m:rPr>
              <m:sty m:val="p"/>
            </m:rPr>
            <m:t>&lt;</m:t>
          </m:r>
          <m:r>
            <m:rPr>
              <m:sty m:val="p"/>
            </m:rPr>
            <m:t>,</m:t>
          </m:r>
          <m:sSup>
            <m:e>
              <m:r>
                <m:t>001</m:t>
              </m:r>
            </m:e>
            <m:sup>
              <m:r>
                <m:rPr>
                  <m:sty m:val="p"/>
                </m:rPr>
                <m:t>*</m:t>
              </m:r>
              <m:r>
                <m:rPr>
                  <m:sty m:val="p"/>
                </m:rPr>
                <m:t>*</m:t>
              </m:r>
              <m:r>
                <m:rPr>
                  <m:sty m:val="p"/>
                </m:rPr>
                <m:t>*</m:t>
              </m:r>
            </m:sup>
          </m:sSup>
        </m:oMath>
      </m:oMathPara>
    </w:p>
    <w:p>
      <w:pPr>
        <w:pStyle w:val="FirstParagraph"/>
      </w:pPr>
      <w:r>
        <w:t xml:space="preserve">Ba dạng mô hình đều nhất quán về chiều âm và ý nghĩa thống kê, xác nhận rằng đây không phải là kết quả ngẫu nhiên do đặc thù mô hình.</w:t>
      </w:r>
    </w:p>
    <w:p>
      <w:pPr>
        <w:pStyle w:val="BodyText"/>
      </w:pPr>
      <w:r>
        <w:t xml:space="preserve">Mô hình M2 bổ sung FSTS</w:t>
      </w:r>
      <m:oMath>
        <m:sSup>
          <m:e>
            <m:r>
              <m:t>​</m:t>
            </m:r>
          </m:e>
          <m:sup>
            <m:r>
              <m:t>2</m:t>
            </m:r>
          </m:sup>
        </m:sSup>
      </m:oMath>
      <w:r>
        <w:t xml:space="preserve"> </w:t>
      </w:r>
      <w:r>
        <w:t xml:space="preserve">không cho kết quả có ý nghĩa thống kê, qua đó xác nhận quan hệ là</w:t>
      </w:r>
      <w:r>
        <w:t xml:space="preserve"> </w:t>
      </w:r>
      <w:r>
        <w:rPr>
          <w:bCs/>
          <w:b/>
        </w:rPr>
        <w:t xml:space="preserve">suy giảm đơn điệu</w:t>
      </w:r>
      <w:r>
        <w:t xml:space="preserve">, không có điểm uốn trong phạm vi dữ liệu.</w:t>
      </w:r>
    </w:p>
    <w:bookmarkEnd w:id="44"/>
    <w:bookmarkStart w:id="45" w:name="X1eacd79ea5935ba958f558c7fa8a022614fd635"/>
    <w:p>
      <w:pPr>
        <w:pStyle w:val="Heading3"/>
      </w:pPr>
      <w:r>
        <w:t xml:space="preserve">4.6.3 Giải thích cơ chế Forced Internationalization Penalty</w:t>
      </w:r>
    </w:p>
    <w:p>
      <w:pPr>
        <w:pStyle w:val="FirstParagraph"/>
      </w:pPr>
      <w:r>
        <w:t xml:space="preserve">Luận án này đặt tên cho hiện tượng nói trên là</w:t>
      </w:r>
      <w:r>
        <w:t xml:space="preserve"> </w:t>
      </w:r>
      <w:r>
        <w:rPr>
          <w:bCs/>
          <w:b/>
        </w:rPr>
        <w:t xml:space="preserve">gánh nặng quốc tế hóa bắt buộc (Forced Internationalization Penalty — FIP)</w:t>
      </w:r>
      <w:r>
        <w:t xml:space="preserve">, một khái niệm lý thuyết mới chưa từng xuất hiện trong tài liệu nghiên cứu kinh doanh quốc tế. Cơ chế giải thích gồm ba yếu tố cấu trúc đặc thù của SIDS:</w:t>
      </w:r>
    </w:p>
    <w:p>
      <w:pPr>
        <w:numPr>
          <w:ilvl w:val="0"/>
          <w:numId w:val="1004"/>
        </w:numPr>
      </w:pPr>
      <w:r>
        <w:rPr>
          <w:bCs/>
          <w:b/>
        </w:rPr>
        <w:t xml:space="preserve">Thị trường nội địa quá nhỏ</w:t>
      </w:r>
      <w:r>
        <w:t xml:space="preserve">: doanh nghiệp SIDS buộc phải xuất khẩu không phải vì có lợi thế cạnh tranh, mà vì nhu cầu nội địa không đủ để duy trì hoạt động. Đây là quốc tế hóa bắt buộc, không phải quốc tế hóa chiến lược.</w:t>
      </w:r>
    </w:p>
    <w:p>
      <w:pPr>
        <w:numPr>
          <w:ilvl w:val="0"/>
          <w:numId w:val="1004"/>
        </w:numPr>
      </w:pPr>
      <w:r>
        <w:rPr>
          <w:bCs/>
          <w:b/>
        </w:rPr>
        <w:t xml:space="preserve">Chi phí hậu cần và tiếp cận thị trường cực cao</w:t>
      </w:r>
      <w:r>
        <w:t xml:space="preserve">: vị trí địa lý xa xôi và phân tán của các đảo SIDS tạo ra chi phí vận chuyển, hậu cần và giao dịch xuyên biên giới không tương xứng với giá trị hàng hóa có thể xuất khẩu.</w:t>
      </w:r>
    </w:p>
    <w:p>
      <w:pPr>
        <w:numPr>
          <w:ilvl w:val="0"/>
          <w:numId w:val="1004"/>
        </w:numPr>
      </w:pPr>
      <w:r>
        <w:rPr>
          <w:bCs/>
          <w:b/>
        </w:rPr>
        <w:t xml:space="preserve">Thiếu hỗ trợ thể chế và năng lực xuất khẩu</w:t>
      </w:r>
      <w:r>
        <w:t xml:space="preserve">: môi trường thể chế yếu (thể hiện qua kết quả DAI bằng không trong phân tích đa quốc gia), việc thiếu hỗ trợ chính sách xuất khẩu, cùng năng lực tổ chức hạn chế khiến việc quản lý hoạt động quốc tế hóa vượt quá khả năng của phần lớn doanh nghiệp SIDS.</w:t>
      </w:r>
    </w:p>
    <w:p>
      <w:pPr>
        <w:pStyle w:val="FirstParagraph"/>
      </w:pPr>
      <w:r>
        <w:t xml:space="preserve">Kết quả FIP là đóng góp lý thuyết gốc của luận án, lần đầu tiên được ghi nhận và đặt tên trong tài liệu nghiên cứu về quan hệ giữa quốc tế hóa và hiệu quả hoạt động cho khu vực Thái Bình Dương.</w:t>
      </w:r>
    </w:p>
    <w:p>
      <w:r>
        <w:pict>
          <v:rect style="width:0;height:1.5pt" o:hralign="center" o:hrstd="t" o:hr="t"/>
        </w:pict>
      </w:r>
    </w:p>
    <w:bookmarkEnd w:id="45"/>
    <w:bookmarkEnd w:id="46"/>
    <w:bookmarkStart w:id="47" w:name="tổng-hợp-kết-quả-theo-hệ-giả-thuyết"/>
    <w:p>
      <w:pPr>
        <w:pStyle w:val="Heading2"/>
      </w:pPr>
      <w:r>
        <w:t xml:space="preserve">4.7 Tổng hợp kết quả theo hệ giả thuyết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I→P có dạng inverted-U</w:t>
            </w:r>
          </w:p>
        </w:tc>
        <w:tc>
          <w:tcPr/>
          <w:p>
            <w:pPr>
              <w:pStyle w:val="Compact"/>
              <w:jc w:val="left"/>
            </w:pPr>
            <w:r>
              <w:t xml:space="preserve">Xác nhận tại Singapore, Trung Quốc, Việt Nam, và toàn mẫu đa quốc gia (ngoại trừ SIDS)</w:t>
            </w:r>
          </w:p>
        </w:tc>
      </w:tr>
      <w:tr>
        <w:tc>
          <w:tcPr/>
          <w:p>
            <w:pPr>
              <w:pStyle w:val="Compact"/>
              <w:jc w:val="left"/>
            </w:pPr>
            <w:r>
              <w:t xml:space="preserve">H2 (TCI điều tiết dương)</w:t>
            </w:r>
          </w:p>
        </w:tc>
        <w:tc>
          <w:tcPr/>
          <w:p>
            <w:pPr>
              <w:pStyle w:val="Compact"/>
              <w:jc w:val="left"/>
            </w:pPr>
            <w:r>
              <w:t xml:space="preserve">TCI khuếch đại I→P</w:t>
            </w:r>
          </w:p>
        </w:tc>
        <w:tc>
          <w:tcPr/>
          <w:p>
            <w:pPr>
              <w:pStyle w:val="Compact"/>
              <w:jc w:val="left"/>
            </w:pPr>
            <w:r>
              <w:t xml:space="preserve">Xác nhận một phần: TCI nâng mặt bằng năng suất tại tất cả bối cảnh; uốn đường cong xác nhận tại Việt Nam nhưng NS tại toàn mẫu đa quốc gia (45 nền kinh tế)</w:t>
            </w:r>
          </w:p>
        </w:tc>
      </w:tr>
      <w:tr>
        <w:tc>
          <w:tcPr/>
          <w:p>
            <w:pPr>
              <w:pStyle w:val="Compact"/>
              <w:jc w:val="left"/>
            </w:pPr>
            <w:r>
              <w:t xml:space="preserve">H3 (DAI điều tiết)</w:t>
            </w:r>
          </w:p>
        </w:tc>
        <w:tc>
          <w:tcPr/>
          <w:p>
            <w:pPr>
              <w:pStyle w:val="Compact"/>
              <w:jc w:val="left"/>
            </w:pPr>
            <w:r>
              <w:t xml:space="preserve">DAI thay đổi độ dốc I→P</w:t>
            </w:r>
          </w:p>
        </w:tc>
        <w:tc>
          <w:tcPr/>
          <w:p>
            <w:pPr>
              <w:pStyle w:val="Compact"/>
              <w:jc w:val="left"/>
            </w:pPr>
            <w:r>
              <w:t xml:space="preserve">Xác nhận: DAI có level effect phổ quát (β=+0,172***) và cả hai curvature interactions có ý nghĩa trong phân tích đa quốc gia (45 nền kinh tế); DAI×ICRV p=.049 —</w:t>
            </w:r>
            <w:r>
              <w:t xml:space="preserve"> </w:t>
            </w:r>
            <w:r>
              <w:t xml:space="preserve">“</w:t>
            </w:r>
            <w:r>
              <w:t xml:space="preserve">digital shield</w:t>
            </w:r>
            <w:r>
              <w:t xml:space="preserve">”</w:t>
            </w:r>
            <w:r>
              <w:t xml:space="preserve"> </w:t>
            </w:r>
            <w:r>
              <w:t xml:space="preserve">mạnh nhất khi thể chế yếu; null tại Việt Nam (Tier-1 only) là kết quả tương thích do hạn chế đo lường</w:t>
            </w:r>
          </w:p>
        </w:tc>
      </w:tr>
      <w:tr>
        <w:tc>
          <w:tcPr/>
          <w:p>
            <w:pPr>
              <w:pStyle w:val="Compact"/>
              <w:jc w:val="left"/>
            </w:pPr>
            <w:r>
              <w:t xml:space="preserve">H4 (kiểm soát quản trị nội sinh)</w:t>
            </w:r>
          </w:p>
        </w:tc>
        <w:tc>
          <w:tcPr/>
          <w:p>
            <w:pPr>
              <w:pStyle w:val="Compact"/>
              <w:jc w:val="left"/>
            </w:pPr>
            <w:r>
              <w:t xml:space="preserve">Kinh nghiệm/giới tính nhà quản trị nâng mặt bằng (kiểm soát quản trị nội sinh, không điều tiết độ cong)</w:t>
            </w:r>
          </w:p>
        </w:tc>
        <w:tc>
          <w:tcPr/>
          <w:p>
            <w:pPr>
              <w:pStyle w:val="Compact"/>
              <w:jc w:val="left"/>
            </w:pPr>
            <w:r>
              <w:t xml:space="preserve">Hiệu ứng mức trong phân tích đa quốc gia (nhà quản trị nữ β=+0,202***); đưa vào như biến kiểm soát quản trị nội sinh nhằm bảo vệ tính nhân quả thuần khiết của tương tác Thể chế × Công nghệ</w:t>
            </w:r>
          </w:p>
        </w:tc>
      </w:tr>
      <w:tr>
        <w:tc>
          <w:tcPr/>
          <w:p>
            <w:pPr>
              <w:pStyle w:val="Compact"/>
              <w:jc w:val="left"/>
            </w:pPr>
            <w:r>
              <w:t xml:space="preserve">H5 (ICRV gradient)</w:t>
            </w:r>
          </w:p>
        </w:tc>
        <w:tc>
          <w:tcPr/>
          <w:p>
            <w:pPr>
              <w:pStyle w:val="Compact"/>
              <w:jc w:val="left"/>
            </w:pPr>
            <w:r>
              <w:t xml:space="preserve">Thể chế điều tiết gradient I→P</w:t>
            </w:r>
          </w:p>
        </w:tc>
        <w:tc>
          <w:tcPr/>
          <w:p>
            <w:pPr>
              <w:pStyle w:val="Compact"/>
              <w:jc w:val="left"/>
            </w:pPr>
            <w:r>
              <w:t xml:space="preserve">Xác nhận mạnh mẽ:</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 từ phân tích tổng hợp MARA và gradient ICRV từ phân tích đa quốc gia</w:t>
            </w:r>
          </w:p>
        </w:tc>
      </w:tr>
      <w:tr>
        <w:tc>
          <w:tcPr/>
          <w:p>
            <w:pPr>
              <w:pStyle w:val="Compact"/>
              <w:jc w:val="left"/>
            </w:pPr>
            <w:r>
              <w:t xml:space="preserve">H6 (Temporal heterogeneity)</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 SIDS boundary condition)</w:t>
            </w:r>
          </w:p>
        </w:tc>
        <w:tc>
          <w:tcPr/>
          <w:p>
            <w:pPr>
              <w:pStyle w:val="Compact"/>
              <w:jc w:val="left"/>
            </w:pPr>
            <w:r>
              <w:t xml:space="preserve">Quan hệ âm đơn điệu tại SIDS</w:t>
            </w:r>
          </w:p>
        </w:tc>
        <w:tc>
          <w:tcPr/>
          <w:p>
            <w:pPr>
              <w:pStyle w:val="Compact"/>
              <w:jc w:val="left"/>
            </w:pPr>
            <w:r>
              <w:t xml:space="preserve">Xác nhận mạnh mẽ:</w:t>
            </w:r>
            <w:r>
              <w:t xml:space="preserve"> </w:t>
            </w:r>
            <m:oMath>
              <m:r>
                <m:t>β</m:t>
              </m:r>
              <m:r>
                <m:rPr>
                  <m:sty m:val="p"/>
                </m:rPr>
                <m:t>=</m:t>
              </m:r>
              <m:r>
                <m:rPr>
                  <m:sty m:val="p"/>
                </m:rPr>
                <m:t>−</m:t>
              </m:r>
              <m:r>
                <m:t>0</m:t>
              </m:r>
              <m:r>
                <m:rPr>
                  <m:sty m:val="p"/>
                </m:rPr>
                <m:t>,</m:t>
              </m:r>
              <m:sSup>
                <m:e>
                  <m:r>
                    <m:t>404</m:t>
                  </m:r>
                </m:e>
                <m:sup>
                  <m:r>
                    <m:rPr>
                      <m:sty m:val="p"/>
                    </m:rPr>
                    <m:t>*</m:t>
                  </m:r>
                </m:sup>
              </m:sSup>
            </m:oMath>
            <w:r>
              <w:t xml:space="preserve"> </w:t>
            </w:r>
            <w:r>
              <w:t xml:space="preserve">đến</w:t>
            </w:r>
            <w:r>
              <w:t xml:space="preserve"> </w:t>
            </w:r>
            <m:oMath>
              <m:r>
                <m:rPr>
                  <m:sty m:val="p"/>
                </m:rPr>
                <m:t>−</m:t>
              </m:r>
              <m:r>
                <m:t>1</m:t>
              </m:r>
              <m:r>
                <m:rPr>
                  <m:sty m:val="p"/>
                </m:rPr>
                <m:t>,</m:t>
              </m:r>
              <m:sSup>
                <m:e>
                  <m:r>
                    <m:t>236</m:t>
                  </m:r>
                </m:e>
                <m:sup>
                  <m:r>
                    <m:rPr>
                      <m:sty m:val="p"/>
                    </m:rPr>
                    <m:t>*</m:t>
                  </m:r>
                  <m:r>
                    <m:rPr>
                      <m:sty m:val="p"/>
                    </m:rPr>
                    <m:t>*</m:t>
                  </m:r>
                  <m:r>
                    <m:rPr>
                      <m:sty m:val="p"/>
                    </m:rPr>
                    <m:t>*</m:t>
                  </m:r>
                </m:sup>
              </m:sSup>
            </m:oMath>
            <w:r>
              <w:t xml:space="preserve"> </w:t>
            </w:r>
            <w:r>
              <w:t xml:space="preserve">tuỳ specification</w:t>
            </w:r>
          </w:p>
        </w:tc>
      </w:tr>
    </w:tbl>
    <w:p>
      <w:r>
        <w:pict>
          <v:rect style="width:0;height:1.5pt" o:hralign="center" o:hrstd="t" o:hr="t"/>
        </w:pict>
      </w:r>
    </w:p>
    <w:bookmarkEnd w:id="47"/>
    <w:bookmarkEnd w:id="48"/>
    <w:bookmarkStart w:id="78" w:name="Xc1ed2bcff80d0fb5b704d4f6dbdf97fdea0e1d7"/>
    <w:p>
      <w:pPr>
        <w:pStyle w:val="Heading1"/>
      </w:pPr>
      <w:r>
        <w:t xml:space="preserve">CHƯƠNG 5: BÀN LUẬN, KẾT LUẬN VÀ HÀM Ý CHÍNH SÁCH</w:t>
      </w:r>
    </w:p>
    <w:p>
      <w:r>
        <w:pict>
          <v:rect style="width:0;height:1.5pt" o:hralign="center" o:hrstd="t" o:hr="t"/>
        </w:pict>
      </w:r>
    </w:p>
    <w:bookmarkStart w:id="49" w:name="giới-thiệu-chương-1"/>
    <w:p>
      <w:pPr>
        <w:pStyle w:val="Heading2"/>
      </w:pPr>
      <w:r>
        <w:t xml:space="preserve">Giới thiệu chương</w:t>
      </w:r>
    </w:p>
    <w:p>
      <w:pPr>
        <w:pStyle w:val="FirstParagraph"/>
      </w:pPr>
      <w:r>
        <w:t xml:space="preserve">Chương 5 tổng hợp và diễn giải kết quả từ Chương 4 dưới lăng kính của khung lý thuyết CDCM và bốn lý thuyết nền (Uppsala, lý thuyết dựa trên nguồn lực, lý thuyết thể chế, lý thuyết tầng lớp lãnh đạo). Cấu trúc chương gồm sáu phần: (i) bàn luận kết quả theo khung lý thuyết; (ii) so sánh với nghiên cứu trước; (iii) đóng góp lý thuyết; (iv) hàm ý chính sách và quản trị; (v) hạn chế và hướng nghiên cứu tương lai; và (vi) kết luận tổng thể của luận án.</w:t>
      </w:r>
    </w:p>
    <w:p>
      <w:r>
        <w:pict>
          <v:rect style="width:0;height:1.5pt" o:hralign="center" o:hrstd="t" o:hr="t"/>
        </w:pict>
      </w:r>
    </w:p>
    <w:bookmarkEnd w:id="49"/>
    <w:bookmarkStart w:id="54" w:name="Xff8cef3ed320f9cf6f3fba4ff558bfed3af19c6"/>
    <w:p>
      <w:pPr>
        <w:pStyle w:val="Heading2"/>
      </w:pPr>
      <w:r>
        <w:t xml:space="preserve">5.1 Bàn luận kết quả theo khung lý thuyết CDCM</w:t>
      </w:r>
    </w:p>
    <w:bookmarkStart w:id="50" w:name="X87949b622680195c8f5649c31ec800d0d4afb82"/>
    <w:p>
      <w:pPr>
        <w:pStyle w:val="Heading3"/>
      </w:pPr>
      <w:r>
        <w:t xml:space="preserve">5.1.1 ICRV Gradient —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gradient ICRV</w:t>
      </w:r>
      <w:r>
        <w:t xml:space="preserve">: cùng một mức độ quốc tế hóa (FSTS) mang lại hiệu quả rất khác nhau tùy thuộc vào chế độ thể chế nơi doanh nghiệp hoạt động. Bằng chứng từ hai nguồn độc lập, gồm phân tích tổng hợp (phân tích tổng hợp,</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phân tích dữ liệu sơ cấp toàn mẫu (phân tích đa quốc gia,</w:t>
      </w:r>
      <w:r>
        <w:t xml:space="preserve"> </w:t>
      </w:r>
      <m:oMath>
        <m:r>
          <m:t>N</m:t>
        </m:r>
        <m:r>
          <m:rPr>
            <m:sty m:val="p"/>
          </m:rPr>
          <m:t>=</m:t>
        </m:r>
        <m:r>
          <m:t>82.302</m:t>
        </m:r>
      </m:oMath>
      <w:r>
        <w:t xml:space="preserve"> </w:t>
      </w:r>
      <w:r>
        <w:t xml:space="preserve">từ 45 nền kinh tế), đều dẫn đến cùng một kết luận: điểm uốn của quan hệ giữa quốc tế hóa và hiệu quả hoạt động</w:t>
      </w:r>
      <w:r>
        <w:t xml:space="preserve"> </w:t>
      </w:r>
      <w:r>
        <w:rPr>
          <w:bCs/>
          <w:b/>
        </w:rPr>
        <w:t xml:space="preserve">sâu dần</w:t>
      </w:r>
      <w:r>
        <w:t xml:space="preserve"> </w:t>
      </w:r>
      <w:r>
        <w:t xml:space="preserve">khi chất lượng thể chế suy giảm: hình chữ U ngược rõ nét nhất ở SIDS/Frontier và phẳng dần về gần tuyến tính ở Advanced Innovation, điểm uốn dao động quanh ~40%. Nói cách khác, nền kinh tế thể chế mạnh hơn đạt đỉnh hiệu quả ở mức FSTS thấp hơn.</w:t>
      </w:r>
    </w:p>
    <w:p>
      <w:pPr>
        <w:pStyle w:val="BodyText"/>
      </w:pPr>
      <w:r>
        <w:t xml:space="preserve">Kết quả này xác nhận H5 và tầng thể chế của khung lý thuyết CDCM một cách thuyết phục: điều kiện biên cho quan hệ giữa quốc tế hóa và hiệu quả hoạt động không do một yếu tố điều tiết đơn lẻ quy định, mà do</w:t>
      </w:r>
      <w:r>
        <w:t xml:space="preserve"> </w:t>
      </w:r>
      <w:r>
        <w:rPr>
          <w:bCs/>
          <w:b/>
        </w:rPr>
        <w:t xml:space="preserve">cả một chế độ thể chế</w:t>
      </w:r>
      <w:r>
        <w:t xml:space="preserve">, được vận hành hóa thành sáu chế độ con ICRV. Lý thuyết thể chế của North (1990) và Khanna và Palepu (2010) dự đoán rằng thể chế định hình chi phí giao dịch và cấu trúc khuyến khích; gradient ICRV chính là biểu hiện thực nghiệm của cơ chế này ở quy mô 45 nền kinh tế châu Á và Thái Bình Dương (phân tích đa quốc gia 45 nền kinh tế).</w:t>
      </w:r>
    </w:p>
    <w:p>
      <w:pPr>
        <w:pStyle w:val="BodyText"/>
      </w:pPr>
      <w:r>
        <w:t xml:space="preserve">Về mặt lý thuyết, gradient ICRV có thể được hiểu qua hai cơ chế bổ sung cho nhau. Cơ chế đầu tiên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còn lại là</w:t>
      </w:r>
      <w:r>
        <w:t xml:space="preserve"> </w:t>
      </w:r>
      <w:r>
        <w:rPr>
          <w:bCs/>
          <w:b/>
        </w:rPr>
        <w:t xml:space="preserve">khuếch đại năng lực</w:t>
      </w:r>
      <w:r>
        <w:t xml:space="preserve">: một môi trường thể chế tốt đồng nghĩa với hệ sinh thái dịch vụ hỗ trợ phát triển (hậu cần, tài chính thương mại, tư vấn pháp lý quốc tế), nhờ đó giảm gánh nặng điều phối nội bộ của doanh nghiệp khi mở rộng quốc tế.</w:t>
      </w:r>
    </w:p>
    <w:bookmarkEnd w:id="50"/>
    <w:bookmarkStart w:id="51" w:name="tci-là-năng-lực-nền-tảng-xác-nhận-h2"/>
    <w:p>
      <w:pPr>
        <w:pStyle w:val="Heading3"/>
      </w:pPr>
      <w:r>
        <w:t xml:space="preserve">5.1.2 TCI là Năng Lực Nền Tảng — Xác nhận H2</w:t>
      </w:r>
    </w:p>
    <w:p>
      <w:pPr>
        <w:pStyle w:val="FirstParagraph"/>
      </w:pPr>
      <w:r>
        <w:t xml:space="preserve">Chỉ số năng lực công nghệ (Technological Capability Index — TCI) nhất quán cho thấy</w:t>
      </w:r>
      <w:r>
        <w:t xml:space="preserve"> </w:t>
      </w:r>
      <w:r>
        <w:rPr>
          <w:bCs/>
          <w:b/>
        </w:rPr>
        <w:t xml:space="preserve">hiệu ứng nâng mặt bằng năng suất dương</w:t>
      </w:r>
      <w:r>
        <w:t xml:space="preserve"> </w:t>
      </w:r>
      <w:r>
        <w:t xml:space="preserve">tại tất cả các mẫu (Việt Nam phân tích Việt Nam, Trung Quốc phân tích Trung Quốc, toàn mẫu đa quốc gia: tăng khoảng 41% năng suất trên mỗi đơn vị độ lệch chuẩn). TCI chỉ</w:t>
      </w:r>
      <w:r>
        <w:t xml:space="preserve"> </w:t>
      </w:r>
      <w:r>
        <w:rPr>
          <w:bCs/>
          <w:b/>
        </w:rPr>
        <w:t xml:space="preserve">điều tiết hình dạng đường cong</w:t>
      </w:r>
      <w:r>
        <w:t xml:space="preserve"> </w:t>
      </w:r>
      <w:r>
        <w:t xml:space="preserve">ở một bối cảnh quốc gia cụ thể (phân tích Việt Nam); trên toàn mẫu đa quốc gia (45 nền kinh tế đa dạng thể chế), tương tác FSTS×TCI không có ý nghĩa. H2 được</w:t>
      </w:r>
      <w:r>
        <w:t xml:space="preserve"> </w:t>
      </w:r>
      <w:r>
        <w:rPr>
          <w:bCs/>
          <w:b/>
        </w:rPr>
        <w:t xml:space="preserve">xác nhận một phần</w:t>
      </w:r>
      <w:r>
        <w:t xml:space="preserve">, qua đó khẳng định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mức độ tiếp cận công nghệ nước ngoài, chi tiêu nghiên cứu và phát triển, đổi mới sản phẩm và chứng nhận chất lượng, tạo ra giá trị cao hơn từ cùng một mức độ quốc tế hóa; song vai trò uốn đường cong lại phụ thuộc vào bối cảnh.</w:t>
      </w:r>
    </w:p>
    <w:p>
      <w:pPr>
        <w:pStyle w:val="BodyText"/>
      </w:pPr>
      <w:r>
        <w:t xml:space="preserve">Cơ chế lý thuyết đằng sau kết quả này bắt nguồn từ lý thuyết dựa trên nguồn lực (Barney, 1991): TCI là nguồn lực VRIN (có giá trị, hiếm, khó sao chép, khó thay thế), nên tạo ra lợi thế cạnh tranh bền vững ngay cả khi doanh nghiệp mở rộng ra thị trường nước ngoài với mức độ bất định cao. Năng lực công nghệ cũng hun đúc năng lực hấp thụ (absorptive capacity) (Cohen &amp; Levinthal, 1990), tức khả năng tiếp nhận và tích hợp tri thức từ thị trường nước ngoài, giúp doanh nghiệp học hỏi hiệu quả hơn trong quá trình quốc tế hóa, nhất quán với vòng học hỏi của mô hình Uppsala (Johanson &amp; Vahlne, 1977).</w:t>
      </w:r>
    </w:p>
    <w:bookmarkEnd w:id="51"/>
    <w:bookmarkStart w:id="52" w:name="X27755afda27725d75d6cee82c01fb99e8279a05"/>
    <w:p>
      <w:pPr>
        <w:pStyle w:val="Heading3"/>
      </w:pPr>
      <w:r>
        <w:t xml:space="preserve">5.1.3 DAI là Nguồn Lực Tình Huống — Hỗ trợ một phần H3</w:t>
      </w:r>
    </w:p>
    <w:p>
      <w:pPr>
        <w:pStyle w:val="FirstParagraph"/>
      </w:pPr>
      <w:r>
        <w:t xml:space="preserve">Kết quả về chỉ số chấp nhận số (Digital Adoption Index — DAI) phức tạp và nhiều sắc thái hơn so với TCI. Trên toàn mẫu đa quốc gia, DAI có hiệu ứng nâng mặt bằng dương (</w:t>
      </w:r>
      <m:oMath>
        <m:acc>
          <m:accPr>
            <m:chr m:val="̂"/>
          </m:accPr>
          <m:e>
            <m:r>
              <m:t>β</m:t>
            </m:r>
          </m:e>
        </m:acc>
        <m:r>
          <m:rPr>
            <m:sty m:val="p"/>
          </m:rPr>
          <m:t>=</m:t>
        </m:r>
        <m:r>
          <m:rPr>
            <m:sty m:val="p"/>
          </m:rPr>
          <m:t>+</m:t>
        </m:r>
        <m:r>
          <m:t>0</m:t>
        </m:r>
        <m:r>
          <m:rPr>
            <m:sty m:val="p"/>
          </m:rPr>
          <m:t>,</m:t>
        </m:r>
        <m:r>
          <m:t>172</m:t>
        </m:r>
      </m:oMath>
      <w:r>
        <w:t xml:space="preserve">,</w:t>
      </w:r>
      <w:r>
        <w:t xml:space="preserve"> </w:t>
      </w:r>
      <m:oMath>
        <m:r>
          <m:t>p</m:t>
        </m:r>
        <m:r>
          <m:rPr>
            <m:sty m:val="p"/>
          </m:rPr>
          <m:t>&lt;</m:t>
        </m:r>
        <m:r>
          <m:rPr>
            <m:sty m:val="p"/>
          </m:rPr>
          <m:t>,</m:t>
        </m:r>
        <m:r>
          <m:t>001</m:t>
        </m:r>
      </m:oMath>
      <w:r>
        <w:t xml:space="preserve">) và cả hai tương tác điều tiết đường cong đều có ý nghĩa (FSTS×DAI</w:t>
      </w:r>
      <w:r>
        <w:t xml:space="preserve"> </w:t>
      </w:r>
      <m:oMath>
        <m:r>
          <m:t>p</m:t>
        </m:r>
        <m:r>
          <m:rPr>
            <m:sty m:val="p"/>
          </m:rPr>
          <m:t>&lt;</m:t>
        </m:r>
        <m:r>
          <m:rPr>
            <m:sty m:val="p"/>
          </m:rPr>
          <m:t>,</m:t>
        </m:r>
        <m:r>
          <m:t>001</m:t>
        </m:r>
      </m:oMath>
      <w:r>
        <w:t xml:space="preserve">; FSTS²×DAI</w:t>
      </w:r>
      <w:r>
        <w:t xml:space="preserve"> </w:t>
      </w:r>
      <m:oMath>
        <m:r>
          <m:t>p</m:t>
        </m:r>
        <m:r>
          <m:rPr>
            <m:sty m:val="p"/>
          </m:rPr>
          <m:t>&lt;</m:t>
        </m:r>
        <m:r>
          <m:rPr>
            <m:sty m:val="p"/>
          </m:rPr>
          <m:t>,</m:t>
        </m:r>
        <m:r>
          <m:t>01</m:t>
        </m:r>
      </m:oMath>
      <w:r>
        <w:t xml:space="preserve">). Tương tác DAI×ICRV (</w:t>
      </w:r>
      <m:oMath>
        <m:r>
          <m:t>p</m:t>
        </m:r>
        <m:r>
          <m:rPr>
            <m:sty m:val="p"/>
          </m:rPr>
          <m:t>=</m:t>
        </m:r>
        <m:r>
          <m:rPr>
            <m:sty m:val="p"/>
          </m:rPr>
          <m:t>,</m:t>
        </m:r>
        <m:r>
          <m:t>049</m:t>
        </m:r>
      </m:oMath>
      <w:r>
        <w:t xml:space="preserve">) xác nhận DAI mạnh hơn ở bối cảnh thể chế yếu hơn, ngụ ý rằng DAI bù đắp cho thiếu hụt thể chế chứ không khuếch đại lợi thế thể chế sẵn có. Tại Singapore (phân tích Singapore, DAI Tier-1+2), DAI phát huy rõ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 Tại Việt Nam (phân tích Việt Nam, chỉ Tier-1, ước lượng bằng biến công cụ), kết quả DAI bằng không phản ánh hạn chế đo lường và sai lệch chọn mẫu hơn là một sự bác bỏ H3.</w:t>
      </w:r>
    </w:p>
    <w:p>
      <w:pPr>
        <w:pStyle w:val="BodyText"/>
      </w:pPr>
      <w:r>
        <w:t xml:space="preserve">Kết quả này củng cố lập luận trong khung CDCM rằng DAI là một</w:t>
      </w:r>
      <w:r>
        <w:t xml:space="preserve"> </w:t>
      </w:r>
      <w:r>
        <w:rPr>
          <w:bCs/>
          <w:b/>
        </w:rPr>
        <w:t xml:space="preserve">nguồn lực tình huống</w:t>
      </w:r>
      <w:r>
        <w:t xml:space="preserve"> </w:t>
      </w:r>
      <w:r>
        <w:t xml:space="preserve">(situational resource): hiệu ứng nâng mặt bằng tự thân là phổ quát, nhưng</w:t>
      </w:r>
      <w:r>
        <w:t xml:space="preserve"> </w:t>
      </w:r>
      <w:r>
        <w:rPr>
          <w:bCs/>
          <w:b/>
        </w:rPr>
        <w:t xml:space="preserve">cơ chế và độ lớn</w:t>
      </w:r>
      <w:r>
        <w:t xml:space="preserve"> </w:t>
      </w:r>
      <w:r>
        <w:t xml:space="preserve">của việc điều tiết đường cong lại phụ thuộc vào bối cảnh ICRV. DAI×ICRV (</w:t>
      </w:r>
      <m:oMath>
        <m:r>
          <m:t>p</m:t>
        </m:r>
        <m:r>
          <m:rPr>
            <m:sty m:val="p"/>
          </m:rPr>
          <m:t>=</m:t>
        </m:r>
        <m:r>
          <m:rPr>
            <m:sty m:val="p"/>
          </m:rPr>
          <m:t>,</m:t>
        </m:r>
        <m:r>
          <m:t>049</m:t>
        </m:r>
      </m:oMath>
      <w:r>
        <w:t xml:space="preserve">) cho thấy DAI mạnh hơn ở thể chế yếu, tức</w:t>
      </w:r>
      <w:r>
        <w:t xml:space="preserve"> </w:t>
      </w:r>
      <w:r>
        <w:t xml:space="preserve">“</w:t>
      </w:r>
      <w:r>
        <w:t xml:space="preserve">lá chắn số</w:t>
      </w:r>
      <w:r>
        <w:t xml:space="preserve">”</w:t>
      </w:r>
      <w:r>
        <w:t xml:space="preserve"> </w:t>
      </w:r>
      <w:r>
        <w:t xml:space="preserve">bù đắp cho thiếu hụt thể chế, trái với quan niệm truyền thống cho rằng DAI chỉ khuếch đại lợi thế sẵn có. Đây là điểm phân biệt quan trọng giữa TCI (năng lực nền tảng phổ quát) và DAI (nguồn lực tình huống với cơ chế phụ thuộc bối cảnh) trong đóng góp lý thuyết của luận án.</w:t>
      </w:r>
    </w:p>
    <w:p>
      <w:pPr>
        <w:pStyle w:val="BodyText"/>
      </w:pPr>
      <w:r>
        <w:t xml:space="preserve">Kết quả DAI bằng không tại Việt Nam (Việt Nam) phản ánh hạn chế đo lường (chỉ Tier-1, kèm sai lệch chọn mẫu trong ước lượng biến công cụ) hơn là một sự bác bỏ H3. Khi DAI được đo bằng Tier-1+2 như tại Singapore, hiệu ứng điều tiết xuất hiện rõ ràng hơn. Tất cả thước đo DAI trong luận án đều là</w:t>
      </w:r>
      <w:r>
        <w:t xml:space="preserve"> </w:t>
      </w:r>
      <w:r>
        <w:rPr>
          <w:bCs/>
          <w:b/>
        </w:rPr>
        <w:t xml:space="preserve">chỉ số chấp nhận số tĩnh</w:t>
      </w:r>
      <w:r>
        <w:t xml:space="preserve">, không phải năng lực số động, bởi dữ liệu WBES không có đủ thang đo để nắm bắt tính động.</w:t>
      </w:r>
    </w:p>
    <w:bookmarkEnd w:id="52"/>
    <w:bookmarkStart w:id="53" w:name="Xfdc4f05762204c1e9501761a1ebcb843f9171c3"/>
    <w:p>
      <w:pPr>
        <w:pStyle w:val="Heading3"/>
      </w:pPr>
      <w:r>
        <w:t xml:space="preserve">5.1.4 FIP là Điều Kiện Biên Cực Đoan — H1b cho SIDS</w:t>
      </w:r>
    </w:p>
    <w:p>
      <w:pPr>
        <w:pStyle w:val="FirstParagraph"/>
      </w:pPr>
      <w:r>
        <w:t xml:space="preserve">Gánh nặng quốc tế hóa bắt buộc (FIP) tại các nền kinh tế SIDS (</w:t>
      </w:r>
      <m:oMath>
        <m:r>
          <m:t>β</m:t>
        </m:r>
        <m:r>
          <m:rPr>
            <m:sty m:val="p"/>
          </m:rPr>
          <m:t>=</m:t>
        </m:r>
        <m:r>
          <m:rPr>
            <m:sty m:val="p"/>
          </m:rPr>
          <m:t>−</m:t>
        </m:r>
        <m:r>
          <m:t>0</m:t>
        </m:r>
        <m:r>
          <m:rPr>
            <m:sty m:val="p"/>
          </m:rPr>
          <m:t>,</m:t>
        </m:r>
        <m:r>
          <m:t>404</m:t>
        </m:r>
      </m:oMath>
      <w:r>
        <w:t xml:space="preserve">,</w:t>
      </w:r>
      <w:r>
        <w:t xml:space="preserve"> </w:t>
      </w:r>
      <m:oMath>
        <m:r>
          <m:t>p</m:t>
        </m:r>
        <m:r>
          <m:rPr>
            <m:sty m:val="p"/>
          </m:rPr>
          <m:t>=</m:t>
        </m:r>
        <m:r>
          <m:rPr>
            <m:sty m:val="p"/>
          </m:rPr>
          <m:t>,</m:t>
        </m:r>
        <m:r>
          <m:t>032</m:t>
        </m:r>
      </m:oMath>
      <w:r>
        <w:t xml:space="preserve">; mạnh hơn trong nhóm chỉ gồm doanh nghiệp xuất khẩu) đại diện cho một điều kiện biên mà phiên bản ban đầu của CDCM chưa dự báo trọn vẹn.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Khi đó, quốc tế hóa không chỉ dừng ở chỗ không mang lại lợi ích mà còn gây tổn hại thực sự cho hiệu quả doanh nghiệp.</w:t>
      </w:r>
    </w:p>
    <w:p>
      <w:pPr>
        <w:pStyle w:val="BodyText"/>
      </w:pPr>
      <w:r>
        <w:t xml:space="preserve">Quan hệ âm đơn điệu này khác về bản chất so với quan hệ phi tuyến chữ U ngược: không có điểm uốn trong phạm vi dữ liệu, nghĩa là trong điều kiện hiện tại không có mức FSTS nào để doanh nghiệp SIDS tận dụng nhằm cải thiện hiệu quả thông qua xuất khẩu. Đây là một ranh giới lý thuyết quan trọng cho các mô hình phi tuyến phổ quát trong tài liệu nghiên cứu về quan hệ giữa quốc tế hóa và hiệu quả hoạt động.</w:t>
      </w:r>
    </w:p>
    <w:p>
      <w:r>
        <w:pict>
          <v:rect style="width:0;height:1.5pt" o:hralign="center" o:hrstd="t" o:hr="t"/>
        </w:pict>
      </w:r>
    </w:p>
    <w:bookmarkEnd w:id="53"/>
    <w:bookmarkEnd w:id="54"/>
    <w:bookmarkStart w:id="58" w:name="so-sánh-với-nghiên-cứu-trước-đây"/>
    <w:p>
      <w:pPr>
        <w:pStyle w:val="Heading2"/>
      </w:pPr>
      <w:r>
        <w:t xml:space="preserve">5.2 So sánh với nghiên cứu trước đây</w:t>
      </w:r>
    </w:p>
    <w:bookmarkStart w:id="55" w:name="nhất-quán-với-mức-tham-chiếu-icbef-2024"/>
    <w:p>
      <w:pPr>
        <w:pStyle w:val="Heading3"/>
      </w:pPr>
      <w:r>
        <w:t xml:space="preserve">5.2.1 Nhất quán với mức tham chiếu ICBEF 2024</w:t>
      </w:r>
    </w:p>
    <w:p>
      <w:pPr>
        <w:pStyle w:val="FirstParagraph"/>
      </w:pPr>
      <w:r>
        <w:t xml:space="preserve">Hiệu ứng tổng hợp</w:t>
      </w:r>
      <w:r>
        <w:t xml:space="preserve"> </w:t>
      </w:r>
      <m:oMath>
        <m:r>
          <m:t>r</m:t>
        </m:r>
        <m:r>
          <m:rPr>
            <m:sty m:val="p"/>
          </m:rPr>
          <m:t>=</m:t>
        </m:r>
        <m:r>
          <m:t>0</m:t>
        </m:r>
        <m:r>
          <m:rPr>
            <m:sty m:val="p"/>
          </m:rPr>
          <m:t>,</m:t>
        </m:r>
        <m:r>
          <m:t>074</m:t>
        </m:r>
      </m:oMath>
      <w:r>
        <w:t xml:space="preserve"> </w:t>
      </w:r>
      <w:r>
        <w:t xml:space="preserve">(phân tích tổng hợp) nhất quán hoàn toàn với</w:t>
      </w:r>
      <w:r>
        <w:t xml:space="preserve"> </w:t>
      </w:r>
      <m:oMath>
        <m:r>
          <m:t>r</m:t>
        </m:r>
        <m:r>
          <m:rPr>
            <m:sty m:val="p"/>
          </m:rPr>
          <m:t>=</m:t>
        </m:r>
        <m:r>
          <m:t>0</m:t>
        </m:r>
        <m:r>
          <m:rPr>
            <m:sty m:val="p"/>
          </m:rPr>
          <m:t>,</m:t>
        </m:r>
        <m:r>
          <m:t>07</m:t>
        </m:r>
      </m:oMath>
      <w:r>
        <w:t xml:space="preserve"> </w:t>
      </w:r>
      <w:r>
        <w:t xml:space="preserve">từ phân tích tổng hợp tham chiếu đã công bố tại hội nghị ICBEF 2024 (Đỗ &amp; Phan, 2024). Sự hội tụ này đáng chú ý vì phân tích tổng hợp mở rộng tập nghiên cứu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hiệu ứng tổng hợp khi mở rộng tập nghiên cứu là bằng chứng về độ ổn định của ước lượng tham chiếu.</w:t>
      </w:r>
    </w:p>
    <w:p>
      <w:pPr>
        <w:pStyle w:val="BodyText"/>
      </w:pPr>
      <w:r>
        <w:t xml:space="preserve">Tuy nhiên, đóng góp của phân tích tổng hợp so với mức tham chiếu không nằm ở giá trị</w:t>
      </w:r>
      <w:r>
        <w:t xml:space="preserve"> </w:t>
      </w:r>
      <m:oMath>
        <m:r>
          <m:t>r</m:t>
        </m:r>
      </m:oMath>
      <w:r>
        <w:t xml:space="preserve"> </w:t>
      </w:r>
      <w:r>
        <w:t xml:space="preserve">tổng hợp mà ở cấu trúc dị biệt: việc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ở tầng 2 và 8,4% ở tầng 3 là thông tin mới mà phân tích tổng hợp đơn tầng không thể cung cấp. Phát hiện này làm thay đổi hiểu biết về nguồn gốc của dị biệt trong tài liệu nghiên cứu: vấn đề chủ yếu là</w:t>
      </w:r>
      <w:r>
        <w:t xml:space="preserve"> </w:t>
      </w:r>
      <w:r>
        <w:rPr>
          <w:bCs/>
          <w:b/>
        </w:rPr>
        <w:t xml:space="preserve">đo lường bên trong từng nghiên cứu</w:t>
      </w:r>
      <w:r>
        <w:t xml:space="preserve">, chứ không phải sự bất đồng căn bản giữa các nghiên cứu.</w:t>
      </w:r>
    </w:p>
    <w:bookmarkEnd w:id="55"/>
    <w:bookmarkStart w:id="56" w:name="X7b8db85450aaa41ba255e0d181ebc5c5ae65c48"/>
    <w:p>
      <w:pPr>
        <w:pStyle w:val="Heading3"/>
      </w:pPr>
      <w:r>
        <w:t xml:space="preserve">5.2.2 Vượt qua Lu và Beamish (2004) và Contractor et al. (2003)</w:t>
      </w:r>
    </w:p>
    <w:p>
      <w:pPr>
        <w:pStyle w:val="FirstParagraph"/>
      </w:pPr>
      <w:r>
        <w:t xml:space="preserve">Lu và Beamish (2004) cùng Contractor et al. (2003) là hai công trình nền tảng về quan hệ phi tuyến giữa quốc tế hóa và hiệu quả hoạt động. Lu và Beamish (2004) tìm thấy điểm uốn khoảng 60% FSTS trong mẫu doanh nghiệp Nhật Bản, còn Contractor et al. (2003) đề xuất đường chữ S ba giai đoạn. Luận án này vượt qua hai công trình đó theo ba hướng.</w:t>
      </w:r>
    </w:p>
    <w:p>
      <w:pPr>
        <w:pStyle w:val="BodyText"/>
      </w:pPr>
      <w:r>
        <w:t xml:space="preserve">Trước hết, luận án chứng minh rằng điểm uốn</w:t>
      </w:r>
      <w:r>
        <w:t xml:space="preserve"> </w:t>
      </w:r>
      <w:r>
        <w:rPr>
          <w:bCs/>
          <w:b/>
        </w:rPr>
        <w:t xml:space="preserve">không cố định</w:t>
      </w:r>
      <w:r>
        <w:t xml:space="preserve"> </w:t>
      </w:r>
      <w:r>
        <w:t xml:space="preserve">mà phụ thuộc vào bối cảnh ICRV: từ TP ≈ 82% (Singapore — Advanced Innovation) đến TP ≈ 39,7% (Việt Nam toàn mẫu — Lower-mid Transition), với Trung Quốc ở mức trung gian (TP ≈ 48,78%). Không tồn tại một điểm uốn phổ quát cho mọi bối cảnh.</w:t>
      </w:r>
    </w:p>
    <w:p>
      <w:pPr>
        <w:pStyle w:val="BodyText"/>
      </w:pPr>
      <w:r>
        <w:t xml:space="preserve">Bên cạnh đó, luận án xác định trường hợp biên FIP tại SIDS, không phải đường chữ S hay chữ U ngược mà là một quan hệ âm đơn điệu, điều mà cả lý thuyết ba giai đoạn lẫn đường chữ S đều không dự báo được.</w:t>
      </w:r>
    </w:p>
    <w:p>
      <w:pPr>
        <w:pStyle w:val="BodyText"/>
      </w:pPr>
      <w:r>
        <w:t xml:space="preserve">Sau cùng, luận án mở rộng khung phân tích từ dữ liệu doanh nghiệp Nhật Bản và đa quốc gia sang 45 nền kinh tế châu Á và Thái Bình Dương, vốn là bối cảnh còn ít được đại diện trong tài liệu nghiên cứu của Lu và Beamish.</w:t>
      </w:r>
    </w:p>
    <w:bookmarkEnd w:id="56"/>
    <w:bookmarkStart w:id="57" w:name="X7d417abcca377c053c807a61872538ebbcf35bb"/>
    <w:p>
      <w:pPr>
        <w:pStyle w:val="Heading3"/>
      </w:pPr>
      <w:r>
        <w:t xml:space="preserve">5.2.3 Mở rộng Marano et al. (2016) — ICRV thay thế binary institutional quality</w:t>
      </w:r>
    </w:p>
    <w:p>
      <w:pPr>
        <w:pStyle w:val="FirstParagraph"/>
      </w:pPr>
      <w:r>
        <w:t xml:space="preserve">Marano et al. (2016) là phân tích tổng hợp quan trọng nhất trong tài liệu nghiên cứu gần đây, cung cấp bằng chứng về vai trò điều tiết của thể chế quốc gia gốc trong quan hệ giữa quốc tế hóa và hiệu quả hoạt động. Dù vậy, Marano et al. chỉ dùng cách phân loại nhị phân (phát triển với mới nổi) hoặc điểm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sáu chế độ con ICRV nắm bắt được sự đa dạng trong nội bộ nhóm</w:t>
      </w:r>
      <w:r>
        <w:t xml:space="preserve"> </w:t>
      </w:r>
      <w:r>
        <w:t xml:space="preserve">“</w:t>
      </w:r>
      <w:r>
        <w:t xml:space="preserve">mới nổi</w:t>
      </w:r>
      <w:r>
        <w:t xml:space="preserve">”</w:t>
      </w:r>
      <w:r>
        <w:t xml:space="preserve"> </w:t>
      </w:r>
      <w:r>
        <w:t xml:space="preserve">(phân biệt Upper-middle Trung Quốc với Lower-mid Việt Nam, với Frontier Bangladesh và SIDS) và nhóm</w:t>
      </w:r>
      <w:r>
        <w:t xml:space="preserve"> </w:t>
      </w:r>
      <w:r>
        <w:t xml:space="preserve">“</w:t>
      </w:r>
      <w:r>
        <w:t xml:space="preserve">tiên tiến</w:t>
      </w:r>
      <w:r>
        <w:t xml:space="preserve">”</w:t>
      </w:r>
      <w:r>
        <w:t xml:space="preserve"> </w:t>
      </w:r>
      <w:r>
        <w:t xml:space="preserve">(phân biệt Advanced Innovation Singapore với Advanced Resource GCC). Cách phân loại nhị phân bỏ sót sự biến thiên quan trọng này, dẫn đến mất thông tin về gradient.</w:t>
      </w:r>
    </w:p>
    <w:p>
      <w:pPr>
        <w:pStyle w:val="BodyText"/>
      </w:pPr>
      <w:r>
        <w:t xml:space="preserve">Ngoài ra, luận án sử dụng phương pháp MARA ba tầng để phân tách cấu trúc dị biệt, một cải tiến phương pháp so với phân tích tổng hợp hiệu ứng ngẫu nhiên đơn tầng của Marano et al. (2016).</w:t>
      </w:r>
    </w:p>
    <w:p>
      <w:r>
        <w:pict>
          <v:rect style="width:0;height:1.5pt" o:hralign="center" o:hrstd="t" o:hr="t"/>
        </w:pict>
      </w:r>
    </w:p>
    <w:bookmarkEnd w:id="57"/>
    <w:bookmarkEnd w:id="58"/>
    <w:bookmarkStart w:id="62" w:name="đóng-góp-lý-thuyết"/>
    <w:p>
      <w:pPr>
        <w:pStyle w:val="Heading2"/>
      </w:pPr>
      <w:r>
        <w:t xml:space="preserve">5.3 Đóng góp lý thuyết</w:t>
      </w:r>
    </w:p>
    <w:bookmarkStart w:id="59" w:name="X4802e963abe3ec5c839018e4bde5df0619b8021"/>
    <w:p>
      <w:pPr>
        <w:pStyle w:val="Heading3"/>
      </w:pPr>
      <w:r>
        <w:t xml:space="preserve">5.3.1 CDCM — Mở rộng khung lý thuyết về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Việc DAI có hiệu ứng nâng mặt bằng phổ quát (β=+0.155, p&lt;.001, mẫu gộp N=82,302 từ 45 nền kinh tế) nhưng vai trò điều tiết đường cong lại</w:t>
      </w:r>
      <w:r>
        <w:t xml:space="preserve"> </w:t>
      </w:r>
      <w:r>
        <w:rPr>
          <w:bCs/>
          <w:b/>
        </w:rPr>
        <w:t xml:space="preserve">phụ thuộc bối cảnh</w:t>
      </w:r>
      <w:r>
        <w:t xml:space="preserve"> </w:t>
      </w:r>
      <w:r>
        <w:t xml:space="preserve">(DAI×ICRV: p=.049) gợi ý rằng DAI không phải năng lực nền tảng như TCI, mà là một</w:t>
      </w:r>
      <w:r>
        <w:t xml:space="preserve"> </w:t>
      </w:r>
      <w:r>
        <w:rPr>
          <w:bCs/>
          <w:b/>
        </w:rPr>
        <w:t xml:space="preserve">nguồn lực tình huống</w:t>
      </w:r>
      <w:r>
        <w:t xml:space="preserve">, tức nguồn lực có vai trò thay đổi theo bối cảnh thể chế. Đáng chú ý, DAI×ICRV (p=.049) cho thấy hiệu ứng điều tiết của DAI</w:t>
      </w:r>
      <w:r>
        <w:t xml:space="preserve"> </w:t>
      </w:r>
      <w:r>
        <w:rPr>
          <w:bCs/>
          <w:b/>
        </w:rPr>
        <w:t xml:space="preserve">mạnh hơn</w:t>
      </w:r>
      <w:r>
        <w:t xml:space="preserve"> </w:t>
      </w:r>
      <w:r>
        <w:t xml:space="preserve">ở các nền kinh tế thể chế yếu hơn (Frontier, SIDS) chứ không phải ở nhóm Advanced; đây chính là</w:t>
      </w:r>
      <w:r>
        <w:t xml:space="preserve"> </w:t>
      </w:r>
      <w:r>
        <w:t xml:space="preserve">“</w:t>
      </w:r>
      <w:r>
        <w:t xml:space="preserve">lá chắn số</w:t>
      </w:r>
      <w:r>
        <w:t xml:space="preserve">”</w:t>
      </w:r>
      <w:r>
        <w:t xml:space="preserve"> </w:t>
      </w:r>
      <w:r>
        <w:t xml:space="preserve">bù đắp cho thiếu hụt thể chế.</w:t>
      </w:r>
    </w:p>
    <w:p>
      <w:pPr>
        <w:pStyle w:val="BodyText"/>
      </w:pPr>
      <w:r>
        <w:t xml:space="preserve">Phát hiện này mang hàm ý lý thuyết quan trọng cho lý thuyết dựa trên nguồn lực và tài liệu nghiên cứu về năng lực số (Bhandari et al., 2023; Verhoef et al., 2021): không phải mọi nguồn lực số đều tạo ra lợi thế cạnh tranh theo cùng một cơ chế trong mọi bối cảnh. DAI là một tài sản bổ trợ (complementary asset) (Teece, 1986) cho bối cảnh thể chế, nhưng theo chiều</w:t>
      </w:r>
      <w:r>
        <w:t xml:space="preserve"> </w:t>
      </w:r>
      <w:r>
        <w:rPr>
          <w:bCs/>
          <w:b/>
        </w:rPr>
        <w:t xml:space="preserve">nghịch</w:t>
      </w:r>
      <w:r>
        <w:t xml:space="preserve">: DAI hoạt động như tài sản bù đắp trong bối cảnh thể chế yếu, nơi hạ tầng thể chế chưa đủ hỗ trợ doanh nghiệp xuất khẩu. Đây là bằng chứng thực nghiệm bổ sung cho lý thuyết về vai trò thay thế giữa thể chế và năng lực số.</w:t>
      </w:r>
    </w:p>
    <w:p>
      <w:pPr>
        <w:pStyle w:val="BodyText"/>
      </w:pPr>
      <w:r>
        <w:t xml:space="preserve">Cũng cần lưu ý một hạn chế quan trọng: trong toàn bộ luận án, DAI được đo lường dựa trên dữ liệu WBES, vốn có quy mô đo lường hạn chế (không đủ để tạo một thang đo mang tính động). Do đó, DAI ở đây được hiểu là</w:t>
      </w:r>
      <w:r>
        <w:t xml:space="preserve"> </w:t>
      </w:r>
      <w:r>
        <w:rPr>
          <w:bCs/>
          <w:b/>
        </w:rPr>
        <w:t xml:space="preserve">chỉ số chấp nhận số tĩnh</w:t>
      </w:r>
      <w:r>
        <w:t xml:space="preserve">, tức mức độ chấp nhận số tại một thời điểm, chứ không phải năng lực số động theo nghĩa của lý thuyết năng lực động (Teece et al., 1997). Đây là một giới hạn về độ trung thực khái niệm mà các nghiên cứu tương lai cần khắc phục.</w:t>
      </w:r>
    </w:p>
    <w:bookmarkEnd w:id="59"/>
    <w:bookmarkStart w:id="60" w:name="X2d492fa0307aa4991837f2d5dc38e247101178c"/>
    <w:p>
      <w:pPr>
        <w:pStyle w:val="Heading3"/>
      </w:pPr>
      <w:r>
        <w:t xml:space="preserve">5.3.2 FIP — Khái niệm mới về trường hợp biên cho SIDS</w:t>
      </w:r>
    </w:p>
    <w:p>
      <w:pPr>
        <w:pStyle w:val="FirstParagraph"/>
      </w:pPr>
      <w:r>
        <w:t xml:space="preserve">Đóng góp lý thuyết thứ hai là đề xuất và đặt tên cho</w:t>
      </w:r>
      <w:r>
        <w:t xml:space="preserve"> </w:t>
      </w:r>
      <w:r>
        <w:rPr>
          <w:bCs/>
          <w:b/>
        </w:rPr>
        <w:t xml:space="preserve">gánh nặng quốc tế hóa bắt buộc (FIP)</w:t>
      </w:r>
      <w:r>
        <w:t xml:space="preserve">, một khái niệm lý thuyết mới chưa từng được định danh trong tài liệu nghiên cứu kinh doanh quốc tế, như một hiện tượng lý thuyết độc lập và khác biệt về bản chất so với</w:t>
      </w:r>
      <w:r>
        <w:t xml:space="preserve"> </w:t>
      </w:r>
      <w:r>
        <w:t xml:space="preserve">“</w:t>
      </w:r>
      <w:r>
        <w:t xml:space="preserve">đoạn dốc xuống của giai đoạn 1</w:t>
      </w:r>
      <w:r>
        <w:t xml:space="preserve">”</w:t>
      </w:r>
      <w:r>
        <w:t xml:space="preserve"> </w:t>
      </w:r>
      <w:r>
        <w:t xml:space="preserve">trong lý thuyết đường chữ S. FIP không phải giai đoạn đầu của quá trình học hỏi (chi phí học hỏi) như mô hình Uppsala dự đoán, mà là một trạng thái cấu trúc bất lợi dài hạn: doanh nghiệp SIDS phải xuất khẩu để tồn tại (do thị trường nội địa quá nhỏ) nhưng lại không có năng lực và môi trường để đạt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 quốc tế hóa nhiều hơn luôn đi kèm hiệu quả kém hơn? Luận án này đề xuất rằng FIP xuất hiện khi ba điều kiện đồng thời thỏa mãn: (i) thể chế ICRV ở mức thấp nhất; (ii) quy mô nền kinh tế quá nhỏ để tạo cơ sở nội địa; và (iii) thiếu hỗ trợ năng lực xuất khẩu từ chính sách. Sự kết hợp của ba điều kiện này tạo ra một cái bẫy quốc tế hóa bắt buộc mà không có điểm uốn nào để thoát ra.</w:t>
      </w:r>
    </w:p>
    <w:bookmarkEnd w:id="60"/>
    <w:bookmarkStart w:id="61" w:name="Xc32e0c91761841c5d26867e9ff33e10da8db64c"/>
    <w:p>
      <w:pPr>
        <w:pStyle w:val="Heading3"/>
      </w:pPr>
      <w:r>
        <w:t xml:space="preserve">5.3.3 ICRV 6-Regime — Phân loại thể chế đặc thù cho khu vực châu Á — Thái Bình Dương</w:t>
      </w:r>
    </w:p>
    <w:p>
      <w:pPr>
        <w:pStyle w:val="FirstParagraph"/>
      </w:pPr>
      <w:r>
        <w:t xml:space="preserve">Đóng góp lý thuyết thứ ba là phát triển và kiểm định</w:t>
      </w:r>
      <w:r>
        <w:t xml:space="preserve"> </w:t>
      </w:r>
      <w:r>
        <w:rPr>
          <w:bCs/>
          <w:b/>
        </w:rPr>
        <w:t xml:space="preserve">khung ICRV sáu chế độ con</w:t>
      </w:r>
      <w:r>
        <w:t xml:space="preserve"> </w:t>
      </w:r>
      <w:r>
        <w:t xml:space="preserve">như một công cụ phân loại thể chế đặc thù cho khu vực châu Á và Thái Bình Dương, thay thế cho các cách phân loại nhị phân (phát triển/mới nổi) hoặc liên tục (điểm WGI) trong tài liệu nghiên cứu hiện hành.</w:t>
      </w:r>
    </w:p>
    <w:p>
      <w:pPr>
        <w:pStyle w:val="BodyText"/>
      </w:pPr>
      <w:r>
        <w:t xml:space="preserve">ICRV nắm bắt được sự đa dạng thể chế chưa từng được vận hành hóa đầy đủ: khác biệt giữa Singapore (Advanced Innovation, kết hợp pháp quyền mạnh và hệ sinh thái đổi mới) với GCC (Advanced Resource, giàu tài nguyên nhưng có hệ sinh thái đổi mới khác biệt), và khác biệt giữa Trung Quốc (Upper-middle, chính phủ can thiệp mạnh), Việt Nam (Lower-mid Transition, đang trong quá trình cải cách) và Bangladesh (Frontier, khoảng trống thể chế lớn). ICRV không chỉ là một khung phân loại mô tả mà còn là khung phân loại</w:t>
      </w:r>
      <w:r>
        <w:t xml:space="preserve"> </w:t>
      </w:r>
      <w:r>
        <w:rPr>
          <w:bCs/>
          <w:b/>
        </w:rPr>
        <w:t xml:space="preserve">dự đoán</w:t>
      </w:r>
      <w:r>
        <w:t xml:space="preserve">: độ cong (concavity / biên độ) của quan hệ I-P sâu dần khi chất lượng thể chế suy giảm, từ gần tuyến tính ở Advanced Innovation đến hình chữ U ngược rõ nét với hình phạt sau đỉnh gay gắt ở SIDS/Frontier, trong khi điểm uốn theo nhóm không đồng nhất và không dịch chuyển đơn điệu; thể chế càng yếu thì hình phạt cho quốc tế hóa quá mức càng gay gắt, qua đó xác nhận giá trị dự đoán của cách phân loại này.</w:t>
      </w:r>
    </w:p>
    <w:p>
      <w:r>
        <w:pict>
          <v:rect style="width:0;height:1.5pt" o:hralign="center" o:hrstd="t" o:hr="t"/>
        </w:pict>
      </w:r>
    </w:p>
    <w:bookmarkEnd w:id="61"/>
    <w:bookmarkEnd w:id="62"/>
    <w:bookmarkStart w:id="66" w:name="hàm-ý-chính-sách-và-quản-trị"/>
    <w:p>
      <w:pPr>
        <w:pStyle w:val="Heading2"/>
      </w:pPr>
      <w:r>
        <w:t xml:space="preserve">5.4 Hàm ý chính sách và quản trị</w:t>
      </w:r>
    </w:p>
    <w:bookmarkStart w:id="63" w:name="Xd93c23a1e505a610f13ec22f0ca64ca9cde13b8"/>
    <w:p>
      <w:pPr>
        <w:pStyle w:val="Heading3"/>
      </w:pPr>
      <w:r>
        <w:t xml:space="preserve">5.4.1 Hàm ý cho nhà hoạch định chính sách —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(qua các chương trình kết nối với công ty đa quốc gia, giảm thuế nhập khẩu công nghệ), khuyến khích nghiên cứu và phát triển, cùng hỗ trợ chứng nhận chất lượng quốc tế sẽ nâng cao TCI của toàn bộ doanh nghiệp trong nền kinh tế. Nhờ đó, đường quan hệ giữa quốc tế hóa và hiệu quả hoạt động dịch chuyển lên trên và điểm uốn có thể mở rộng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cao hơn trước khi chi phí vượt qua lợi ích. Như vậy, cải cách thể chế không chỉ có lợi cho kinh doanh nội địa mà còn mở rộng không gian thu lợi từ xuất khẩu.</w:t>
      </w:r>
    </w:p>
    <w:p>
      <w:pPr>
        <w:pStyle w:val="BodyText"/>
      </w:pPr>
      <w:r>
        <w:t xml:space="preserve">Riêng với Việt Nam, việc điểm uốn dịch chuyển từ 46,2% (2009) xuống 39,3% (2015) là một tín hiệu đáng lo ngại. Nếu điểm uốn tiếp tục dịch sang trái, lợi ích từ xuất khẩu sẽ đạt đỉnh sớm hơn và suy giảm nhanh hơn, có thể do cấu trúc xuất khẩu tập trung vào gia công với biên lợi nhuận mỏng. Chính sách nâng cao giá trị gia tăng trong xuất khẩu (tiến lên chuỗi giá trị) kết hợp với tăng cường TCI có thể giúp đảo ngược xu hướng này.</w:t>
      </w:r>
    </w:p>
    <w:bookmarkEnd w:id="63"/>
    <w:bookmarkStart w:id="64" w:name="X6e5a5fae0f690c2309d7ab6bd8b1448d22b7fd2"/>
    <w:p>
      <w:pPr>
        <w:pStyle w:val="Heading3"/>
      </w:pPr>
      <w:r>
        <w:t xml:space="preserve">5.4.2 Hàm ý cho nhà quản trị doanh nghiệp — Turning Point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từng bối cảnh:</w:t>
      </w:r>
    </w:p>
    <w:p>
      <w:pPr>
        <w:numPr>
          <w:ilvl w:val="0"/>
          <w:numId w:val="1005"/>
        </w:numPr>
      </w:pPr>
      <w:r>
        <w:rPr>
          <w:bCs/>
          <w:b/>
        </w:rPr>
        <w:t xml:space="preserve">Doanh nghiệp Singapore (Nhóm I)</w:t>
      </w:r>
      <w:r>
        <w:t xml:space="preserve">: điểm uốn TP ≈ 82% cho thấy không gian quốc tế hóa rất rộng. Chiến lược mở rộng quốc tế mạnh mẽ với mức cam kết cao phù hợp với bối cảnh này, nhất là khi kết hợp với DAI cao.</w:t>
      </w:r>
    </w:p>
    <w:p>
      <w:pPr>
        <w:numPr>
          <w:ilvl w:val="0"/>
          <w:numId w:val="1005"/>
        </w:numPr>
      </w:pPr>
      <w:r>
        <w:rPr>
          <w:bCs/>
          <w:b/>
        </w:rPr>
        <w:t xml:space="preserve">Doanh nghiệp Trung Quốc (Nhóm III)</w:t>
      </w:r>
      <w:r>
        <w:t xml:space="preserve">: điểm uốn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05"/>
        </w:numPr>
      </w:pPr>
      <w:r>
        <w:rPr>
          <w:bCs/>
          <w:b/>
        </w:rPr>
        <w:t xml:space="preserve">Doanh nghiệp Việt Nam (Nhóm IV)</w:t>
      </w:r>
      <w:r>
        <w:t xml:space="preserve">: điểm uốn thấp hơn (39,3–46,2%), hàm ý rằng nhà quản trị cần thận trọng hơn khi đẩy tỷ lệ xuất khẩu vượt quá 40% tổng doanh thu. Thay vào đó, việc</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05"/>
        </w:numPr>
      </w:pPr>
      <w:r>
        <w:rPr>
          <w:bCs/>
          <w:b/>
        </w:rPr>
        <w:t xml:space="preserve">Doanh nghiệp SIDS (Nhóm VI)</w:t>
      </w:r>
      <w:r>
        <w:t xml:space="preserve">: kết quả FIP là một cảnh báo nghiêm túc. Đẩy mạnh xuất khẩu trong bối cảnh thiếu năng lực và hỗ trợ thể chế không những không cải thiện mà còn có thể làm xấu đi hiệu quả hoạt động. Doanh nghiệp SIDS nên ưu tiên xây dựng năng lực nội địa và nâng cao TCI trước khi mở rộng xuất khẩu đáng kể.</w:t>
      </w:r>
    </w:p>
    <w:bookmarkEnd w:id="64"/>
    <w:bookmarkStart w:id="65" w:name="X4ce0a0ffad3c7cb51678bbd9e464b3bb85acc26"/>
    <w:p>
      <w:pPr>
        <w:pStyle w:val="Heading3"/>
      </w:pPr>
      <w:r>
        <w:t xml:space="preserve">5.4.3 Hàm ý đặc biệt cho SIDS — Tránh Bẫy Quốc Tế Hóa Bắt Buộc</w:t>
      </w:r>
    </w:p>
    <w:p>
      <w:pPr>
        <w:pStyle w:val="FirstParagraph"/>
      </w:pPr>
      <w:r>
        <w:t xml:space="preserve">Phát hiện FIP tại chín quốc gia SIDS Thái Bình Dương có hàm ý chính sách cụ thể và cấp bách. Hiện tại, nhiều chương trình phát triển quốc tế và viện trợ thương mại cho SIDS tập trung vào khuyến khích xuất khẩu như một chiến lược tăng trưởng. Kết quả FIP đặt câu hỏi về hiệu quả của chiến lược này khi thiếu nền tảng năng lực tương ứng.</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(i) xây dựng hạ tầng logistics và kết nối (giảm chi phí cố định của xuất khẩu); (ii) phát triển năng lực doanh nghiệp thông qua TCI (chứ không chỉ DAI bề mặt); (iii) thiết kế chương trình hỗ trợ xuất khẩu có chọn lọc tập trung vào doanh nghiệp đã có đủ năng lực để hưởng lợi, thay vì khuyến khích đại trà. Nói tóm lại, tránh</w:t>
      </w:r>
      <w:r>
        <w:t xml:space="preserve"> </w:t>
      </w:r>
      <w:r>
        <w:t xml:space="preserve">“</w:t>
      </w:r>
      <w:r>
        <w:t xml:space="preserve">bẫy quốc tế hóa bắt buộc</w:t>
      </w:r>
      <w:r>
        <w:t xml:space="preserve">”</w:t>
      </w:r>
      <w:r>
        <w:t xml:space="preserve"> </w:t>
      </w:r>
      <w:r>
        <w:t xml:space="preserve">bằng cách đảm bảo rằng các can thiệp chính sách xây dựng năng lực trước khi thúc đẩy mở rộng thị trường.</w:t>
      </w:r>
    </w:p>
    <w:p>
      <w:r>
        <w:pict>
          <v:rect style="width:0;height:1.5pt" o:hralign="center" o:hrstd="t" o:hr="t"/>
        </w:pict>
      </w:r>
    </w:p>
    <w:bookmarkEnd w:id="65"/>
    <w:bookmarkEnd w:id="66"/>
    <w:bookmarkStart w:id="71" w:name="hạn-chế-và-hướng-nghiên-cứu-tương-lai"/>
    <w:p>
      <w:pPr>
        <w:pStyle w:val="Heading2"/>
      </w:pPr>
      <w:r>
        <w:t xml:space="preserve">5.5 Hạn chế và hướng nghiên cứu tương lai</w:t>
      </w:r>
    </w:p>
    <w:bookmarkStart w:id="67"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một số lượng hạng mục hạn chế để xây dựng chỉ số DAI, và các hạng mục này lại thay đổi qua từng thế hệ lược đồ WBES (PICS3, Standardized, BREADY/BEE). Tại Việt Nam (Việt Nam), chỉ có Tier-1 DAI (website, thư điện tử, bán hàng trực tuyến) được sử dụng do hạn chế của các làn sóng 2009 và 2015, trong khi Tier-2 (thanh toán điện tử, nhà cung cấp điện tử) chỉ có từ 2023. Điều này dẫn đến khả năng đo lường không đầy đủ, đặc biệt là không nắm bắt được chiều sâu năng lực số ở bối cảnh ICRV thấp.</w:t>
      </w:r>
    </w:p>
    <w:p>
      <w:pPr>
        <w:pStyle w:val="BodyText"/>
      </w:pPr>
      <w:r>
        <w:t xml:space="preserve">Quan trọng hơn, mọi thước đo DAI đều mang tính</w:t>
      </w:r>
      <w:r>
        <w:t xml:space="preserve"> </w:t>
      </w:r>
      <w:r>
        <w:rPr>
          <w:bCs/>
          <w:b/>
        </w:rPr>
        <w:t xml:space="preserve">tĩnh</w:t>
      </w:r>
      <w:r>
        <w:t xml:space="preserve"> </w:t>
      </w:r>
      <w:r>
        <w:t xml:space="preserve">(tại một thời điểm khảo sát), nên không thể nắm bắt tính</w:t>
      </w:r>
      <w:r>
        <w:t xml:space="preserve"> </w:t>
      </w:r>
      <w:r>
        <w:rPr>
          <w:bCs/>
          <w:b/>
        </w:rPr>
        <w:t xml:space="preserve">động</w:t>
      </w:r>
      <w:r>
        <w:t xml:space="preserve"> </w:t>
      </w:r>
      <w:r>
        <w:t xml:space="preserve">của việc cập nhật và tái cấu hình năng lực số theo thời gian. Như vậy, các phát hiện về DAI trong luận án phản ánh mức độ chấp nhận số tại một thời điểm chứ không phải năng lực số động theo nghĩa của lý thuyết năng lực động (Teece et al., 1997).</w:t>
      </w:r>
    </w:p>
    <w:bookmarkEnd w:id="67"/>
    <w:bookmarkStart w:id="68" w:name="X002467586fd1e54cc3eb9ac5af0bc380c6dff27"/>
    <w:p>
      <w:pPr>
        <w:pStyle w:val="Heading3"/>
      </w:pPr>
      <w:r>
        <w:t xml:space="preserve">5.5.2 Hạn chế về sai lệch chọn mẫu trong các mẫu phụ doanh nghiệp xuất khẩu</w:t>
      </w:r>
    </w:p>
    <w:p>
      <w:pPr>
        <w:pStyle w:val="FirstParagraph"/>
      </w:pPr>
      <w:r>
        <w:t xml:space="preserve">Các phân tích sử dụng mẫu chỉ gồm doanh nghiệp xuất khẩu (chẳng hạn Singapore N = 237, SIDS chỉ gồm doanh nghiệp xuất khẩu N = 187) đối mặt với rủi ro sai lệch chọn mẫu nghiêm trọng: doanh nghiệp xuất khẩu không phải là mẫu ngẫu nhiên từ tổng thể mà nhiều khả năng đã có sẵn một số lợi thế ban đầu (năng suất, nguồn lực, quan hệ). Kết quả từ nhóm chỉ gồm doanh nghiệp xuất khẩu không thể tổng quát hóa trực tiếp cho toàn bộ doanh nghiệp, và có thể đánh giá thấp hoặc đánh giá cao các hiệu ứng tùy theo chiều của sự chọn mẫu.</w:t>
      </w:r>
    </w:p>
    <w:p>
      <w:pPr>
        <w:pStyle w:val="BodyText"/>
      </w:pPr>
      <w:r>
        <w:t xml:space="preserve">Trong các nghiên cứu tương lai, phương pháp Heckman hai bước (hoặc mô hình hiệu ứng can thiệp) có thể khắc phục phần nào hạn chế này bằng cách mô hình hóa quá trình lựa chọn tham gia xuất khẩu như giai đoạn thứ nhất, trước khi ước lượng hiệu quả ở giai đoạn thứ hai.</w:t>
      </w:r>
    </w:p>
    <w:bookmarkEnd w:id="68"/>
    <w:bookmarkStart w:id="69" w:name="hạn-chế-về-nhân-quả"/>
    <w:p>
      <w:pPr>
        <w:pStyle w:val="Heading3"/>
      </w:pPr>
      <w:r>
        <w:t xml:space="preserve">5.5.3 Hạn chế về nhân quả</w:t>
      </w:r>
    </w:p>
    <w:p>
      <w:pPr>
        <w:pStyle w:val="FirstParagraph"/>
      </w:pPr>
      <w:r>
        <w:t xml:space="preserve">Thiết kế cắt ngang (hoặc dữ liệu bảng gộp, nhưng WBES không phải là dữ liệu bảng thực sự theo cùng doanh nghiệp qua thời gian) giới hạn khả năng suy luận nhân quả. Quan hệ giữa quốc tế hóa và hiệu quả hoạt động có thể chịu ảnh hưởng của quan hệ nhân quả ngược: doanh nghiệp hiệu quả hơn thường có nhiều nguồn lực hơn để quốc tế hóa, tạo ra chiều nhân quả ngược lại. Hiệu ứng cố định quốc gia và hiệu ứng cố định năm giúp kiểm soát một phần, song không giải quyết trọn vẹn vấn đề nội sinh.</w:t>
      </w:r>
    </w:p>
    <w:bookmarkEnd w:id="69"/>
    <w:bookmarkStart w:id="70" w:name="hướng-nghiên-cứu-tương-lai"/>
    <w:p>
      <w:pPr>
        <w:pStyle w:val="Heading3"/>
      </w:pPr>
      <w:r>
        <w:t xml:space="preserve">5.5.4 Hướng nghiên cứu tương lai</w:t>
      </w:r>
    </w:p>
    <w:p>
      <w:pPr>
        <w:pStyle w:val="FirstParagraph"/>
      </w:pPr>
      <w:r>
        <w:t xml:space="preserve">Dựa trên các hạn chế trên, luận án này đề xuất bốn hướng nghiên cứu ưu tiên.</w:t>
      </w:r>
    </w:p>
    <w:p>
      <w:pPr>
        <w:pStyle w:val="BodyText"/>
      </w:pPr>
      <w:r>
        <w:t xml:space="preserve">Hướng đầu tiên là xây dựng thước đo DAI phong phú hơn (Tier-2 và Tier-3) trên dữ liệu WBES mới nhất (2023–2026) cùng các nguồn dữ liệu bổ sung (ITU Digital Development Index, OECD Digital Economy Outlook) nhằm kiểm định lại vai trò của DAI ở các bối cảnh ICRV thấp hơn.</w:t>
      </w:r>
    </w:p>
    <w:p>
      <w:pPr>
        <w:pStyle w:val="BodyText"/>
      </w:pPr>
      <w:r>
        <w:t xml:space="preserve">Bên cạnh đó, có thể vận dụng các phương pháp nhận dạng nhân quả: biến công cụ (chẳng hạn dựa vào các cải cách thương mại ngoại sinh như hiệp định thương mại tự do được ký kết), khác biệt trong khác biệt (difference-in-differences), hoặc hồi quy gián đoạn (regression discontinuity) để ước lượng hiệu ứng nhân quả của quốc tế hóa lên hiệu quả.</w:t>
      </w:r>
    </w:p>
    <w:p>
      <w:pPr>
        <w:pStyle w:val="BodyText"/>
      </w:pPr>
      <w:r>
        <w:t xml:space="preserve">Một hướng nữa là mở rộng phân tích FIP tại SIDS bằng các công cụ đo lường và dữ liệu bảng thực sự (theo dõi cùng doanh nghiệp qua nhiều năm), nhằm kiểm định xem FIP là trạng thái cấu trúc dài hạn hay chỉ là giai đoạn tạm thời khi doanh nghiệp SIDS mới bắt đầu xuất khẩu.</w:t>
      </w:r>
    </w:p>
    <w:p>
      <w:pPr>
        <w:pStyle w:val="BodyText"/>
      </w:pPr>
      <w:r>
        <w:t xml:space="preserve">Sau cùng, trong luận án này đặc điểm nhà quản trị cấp cao (H4 — kinh nghiệm, học vấn, giới tính) được đưa vào như khối kiểm soát quản trị nội sinh chứ không phải nhân tố điều tiết trọng tâm; một hướng nghiên cứu tương lai là tách riêng và kiểm định khả năng điều tiết theo bối cảnh của các đặc điểm này trong từng chế độ ICRV, đặc biệt ở bối cảnh Frontier và SIDS nơi tầng năng lực và thể chế yếu hơn, để xem liệu chất lượng quản trị có thể bù đắp một phần cho những thiếu hụt đó hay không.</w:t>
      </w:r>
    </w:p>
    <w:p>
      <w:r>
        <w:pict>
          <v:rect style="width:0;height:1.5pt" o:hralign="center" o:hrstd="t" o:hr="t"/>
        </w:pict>
      </w:r>
    </w:p>
    <w:bookmarkEnd w:id="70"/>
    <w:bookmarkEnd w:id="71"/>
    <w:bookmarkStart w:id="76" w:name="kết-luận-chương-và-luận-án"/>
    <w:p>
      <w:pPr>
        <w:pStyle w:val="Heading2"/>
      </w:pPr>
      <w:r>
        <w:t xml:space="preserve">5.6 Kết luận chương và luận án</w:t>
      </w:r>
    </w:p>
    <w:bookmarkStart w:id="72" w:name="tổng-kết-tám-nghiên-cứu"/>
    <w:p>
      <w:pPr>
        <w:pStyle w:val="Heading3"/>
      </w:pPr>
      <w:r>
        <w:t xml:space="preserve">5.6.1 Tổng kết tám nghiên cứu</w:t>
      </w:r>
    </w:p>
    <w:p>
      <w:pPr>
        <w:pStyle w:val="FirstParagraph"/>
      </w:pPr>
      <w:r>
        <w:t xml:space="preserve">Luận án này được xây dựng trên tám nghiên cứu bổ sung cho nhau, kết hợp bằng chứng từ phân tích tổng hợp và phân tích thực nghiệm sơ cấp:</w:t>
      </w:r>
    </w:p>
    <w:p>
      <w:pPr>
        <w:numPr>
          <w:ilvl w:val="0"/>
          <w:numId w:val="1006"/>
        </w:numPr>
      </w:pPr>
      <w:r>
        <w:rPr>
          <w:bCs/>
          <w:b/>
        </w:rPr>
        <w:t xml:space="preserve">P1 và P2</w:t>
      </w:r>
      <w:r>
        <w:t xml:space="preserve"> </w:t>
      </w:r>
      <w:r>
        <w:t xml:space="preserve">(đã công bố — ICBEF 2024, Đỗ &amp; Phan, 2024): thiết lập mức tham chiếu tổng hợp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06"/>
        </w:numPr>
      </w:pPr>
      <w:r>
        <w:rPr>
          <w:bCs/>
          <w:b/>
        </w:rPr>
        <w:t xml:space="preserve">phân tích Việt Nam</w:t>
      </w:r>
      <w:r>
        <w:t xml:space="preserve">: phân tích Việt Nam (Lower-mid Transition), xác nhận chữ U ngược với TP = 39,3–46,2%, trong đó TCI là yếu tố điều tiết dương có ý nghĩa.</w:t>
      </w:r>
    </w:p>
    <w:p>
      <w:pPr>
        <w:numPr>
          <w:ilvl w:val="0"/>
          <w:numId w:val="1006"/>
        </w:numPr>
      </w:pPr>
      <w:r>
        <w:rPr>
          <w:bCs/>
          <w:b/>
        </w:rPr>
        <w:t xml:space="preserve">phân tích Singapore</w:t>
      </w:r>
      <w:r>
        <w:t xml:space="preserve">: phân tích Singapore (Advanced Innovation), xác nhận inverted-U với TP ≈ 82% (rộng CI), DAI khuếch đại tại mức FSTS cao.</w:t>
      </w:r>
    </w:p>
    <w:p>
      <w:pPr>
        <w:numPr>
          <w:ilvl w:val="0"/>
          <w:numId w:val="1006"/>
        </w:numPr>
      </w:pPr>
      <w:r>
        <w:rPr>
          <w:bCs/>
          <w:b/>
        </w:rPr>
        <w:t xml:space="preserve">phân tích Trung Quốc</w:t>
      </w:r>
      <w:r>
        <w:t xml:space="preserve">: phân tích Trung Quốc 2012–2024 (Upper-middle), xác nhận inverted-U ổn định theo thời gian (TP ≈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06"/>
        </w:numPr>
      </w:pPr>
      <w:r>
        <w:rPr>
          <w:bCs/>
          <w:b/>
        </w:rPr>
        <w:t xml:space="preserve">phân tích tổng hợp</w:t>
      </w:r>
      <w:r>
        <w:t xml:space="preserve">: meta-analysis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2 + 8,4% tầng 3), ICRV moderation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06"/>
        </w:numPr>
      </w:pPr>
      <w:r>
        <w:rPr>
          <w:bCs/>
          <w:b/>
        </w:rPr>
        <w:t xml:space="preserve">phân tích đa quốc gia</w:t>
      </w:r>
      <w:r>
        <w:t xml:space="preserve">: kiểm định toàn mẫu châu Á và Thái Bình Dương</w:t>
      </w:r>
      <w:r>
        <w:t xml:space="preserve"> </w:t>
      </w:r>
      <m:oMath>
        <m:r>
          <m:t>N</m:t>
        </m:r>
        <m:r>
          <m:rPr>
            <m:sty m:val="p"/>
          </m:rPr>
          <m:t>=</m:t>
        </m:r>
        <m:r>
          <m:t>82.302</m:t>
        </m:r>
      </m:oMath>
      <w:r>
        <w:t xml:space="preserve"> </w:t>
      </w:r>
      <w:r>
        <w:t xml:space="preserve">(M2) /</w:t>
      </w:r>
      <w:r>
        <w:t xml:space="preserve"> </w:t>
      </w:r>
      <m:oMath>
        <m:r>
          <m:t>36.772</m:t>
        </m:r>
      </m:oMath>
      <w:r>
        <w:t xml:space="preserve"> </w:t>
      </w:r>
      <w:r>
        <w:t xml:space="preserve">(M3–M5 với controls), TP = 34,1–39,5% (M11 đầy đủ: TP = 25,7%,</w:t>
      </w:r>
      <w:r>
        <w:t xml:space="preserve"> </w:t>
      </w:r>
      <m:oMath>
        <m:sSub>
          <m:e>
            <m:r>
              <m:t>p</m:t>
            </m:r>
          </m:e>
          <m:sub>
            <m:r>
              <m:rPr>
                <m:nor/>
                <m:sty m:val="p"/>
              </m:rPr>
              <m:t>LM</m:t>
            </m:r>
          </m:sub>
        </m:sSub>
        <m:r>
          <m:rPr>
            <m:sty m:val="p"/>
          </m:rPr>
          <m:t>=</m:t>
        </m:r>
        <m:r>
          <m:rPr>
            <m:sty m:val="p"/>
          </m:rPr>
          <m:t>,</m:t>
        </m:r>
        <m:r>
          <m:t>026</m:t>
        </m:r>
      </m:oMath>
      <w:r>
        <w:t xml:space="preserve">), gradient ICRV xác nhận (độ cong sâu dần khi thể chế yếu đi; điểm uốn ~40%), TCI nâng mặt bằng phổ quát (+45%/SD), DAI điều tiết đường cong có ý nghĩa toàn mẫu và mạnh hơn tại thể chế yếu (DAI×ICRV</w:t>
      </w:r>
      <w:r>
        <w:t xml:space="preserve"> </w:t>
      </w:r>
      <m:oMath>
        <m:r>
          <m:t>p</m:t>
        </m:r>
        <m:r>
          <m:rPr>
            <m:sty m:val="p"/>
          </m:rPr>
          <m:t>=</m:t>
        </m:r>
        <m:r>
          <m:rPr>
            <m:sty m:val="p"/>
          </m:rPr>
          <m:t>,</m:t>
        </m:r>
        <m:r>
          <m:t>049</m:t>
        </m:r>
      </m:oMath>
      <w:r>
        <w:t xml:space="preserve">).</w:t>
      </w:r>
    </w:p>
    <w:p>
      <w:pPr>
        <w:numPr>
          <w:ilvl w:val="0"/>
          <w:numId w:val="1006"/>
        </w:numPr>
      </w:pPr>
      <w:r>
        <w:rPr>
          <w:bCs/>
          <w:b/>
        </w:rPr>
        <w:t xml:space="preserve">phân tích SIDS Thái Bình Dương</w:t>
      </w:r>
      <w:r>
        <w:t xml:space="preserve">: phân tích SIDS Thái Bình Dương,</w:t>
      </w:r>
      <w:r>
        <w:t xml:space="preserve"> </w:t>
      </w:r>
      <m:oMath>
        <m:r>
          <m:t>N</m:t>
        </m:r>
        <m:r>
          <m:rPr>
            <m:sty m:val="p"/>
          </m:rPr>
          <m:t>=</m:t>
        </m:r>
        <m:r>
          <m:t>1.469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sSup>
          <m:e>
            <m:r>
              <m:t>404</m:t>
            </m:r>
          </m:e>
          <m:sup>
            <m:r>
              <m:rPr>
                <m:sty m:val="p"/>
              </m:rPr>
              <m:t>*</m:t>
            </m:r>
          </m:sup>
        </m:sSup>
      </m:oMath>
      <w:r>
        <w:t xml:space="preserve">, FIP xác nhận — quan hệ âm đơn điệu không có turning point.</w:t>
      </w:r>
    </w:p>
    <w:bookmarkEnd w:id="72"/>
    <w:bookmarkStart w:id="73"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(phân tích tổng hợp) và 82.302 doanh nghiệp tại 45 nền kinh tế châu Á và Thái Bình Dương (phân tích đa quốc gia 45 nền kinh tế) đều dẫn đến kết luận này. Quan hệ giữa quốc tế hóa và hiệu quả hoạt động không phải một đường cong phổ quát, mà là một</w:t>
      </w:r>
      <w:r>
        <w:t xml:space="preserve"> </w:t>
      </w:r>
      <w:r>
        <w:rPr>
          <w:bCs/>
          <w:b/>
        </w:rPr>
        <w:t xml:space="preserve">họ đường cong phụ thuộc bối cảnh</w:t>
      </w:r>
      <w:r>
        <w:t xml:space="preserve"> </w:t>
      </w:r>
      <w:r>
        <w:t xml:space="preserve">(family of context-dependent curves), trong đó độ cong (concavity / biên độ) là một hàm số</w:t>
      </w:r>
      <w:r>
        <w:t xml:space="preserve"> </w:t>
      </w:r>
      <w:r>
        <w:rPr>
          <w:bCs/>
          <w:b/>
        </w:rPr>
        <w:t xml:space="preserve">tăng dần</w:t>
      </w:r>
      <w:r>
        <w:t xml:space="preserve"> </w:t>
      </w:r>
      <w:r>
        <w:t xml:space="preserve">theo mức độ suy giảm của chất lượng thể chế ICRV: thể chế càng yếu thì hình chữ U ngược càng cong sâu và hình phạt sau đỉnh càng gay gắt, trong khi điểm uốn theo nhóm không đồng nhất và không dịch chuyển đơn điệu.</w:t>
      </w:r>
    </w:p>
    <w:bookmarkEnd w:id="73"/>
    <w:bookmarkStart w:id="74"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dòng phân tích tổng hợp về quan hệ giữa quốc tế hóa và hiệu quả hoạt động, qua việc phân tách cấu trúc dị biệt và xác định ICRV là một yếu tố điều tiết có ý nghĩa; (ii) dòng nghiên cứu về năng lực số, qua việc làm rõ DAI là nguồn lực tình huống chứ không phải năng lực nền tảng; và (iii) dòng nghiên cứu về quốc tế hóa và SIDS, qua việc đặt tên và cung cấp bằng chứng đầu tiên cho FIP.</w:t>
      </w:r>
    </w:p>
    <w:p>
      <w:pPr>
        <w:pStyle w:val="BodyText"/>
      </w:pPr>
      <w:r>
        <w:t xml:space="preserve">Về thực tiễn, luận án cung cấp cơ sở để nhà hoạch định chính sách và nhà quản trị doanh nghiệp ở từng bối cảnh ICRV cụ thể hiệu chỉnh chiến lược quốc tế hóa cho phù hợp. Bài học từ Singapore hay Nhật Bản không nên được áp dụng máy móc vào bối cảnh Việt Nam hay SIDS; thay vào đó, cần nhìn nhận sự phụ thuộc bối cảnh như một nguyên lý căn bản trong hoạch định chiến lược quốc tế hóa.</w:t>
      </w:r>
    </w:p>
    <w:bookmarkEnd w:id="74"/>
    <w:bookmarkStart w:id="75" w:name="lời-kết"/>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tám nghiên cứu và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SIDS, quốc tế hóa bắt buộc có thể gây ra thiệt hại. Hiểu biết này — rằng quan hệ I→P là quan hệ có điều kiện theo thể chế, không phải quan hệ phổ quát — là đóng góp cốt lõi mà luận án mang lại cho khoa học quản trị kinh doanh quốc tế.</w:t>
      </w:r>
    </w:p>
    <w:p>
      <w:r>
        <w:pict>
          <v:rect style="width:0;height:1.5pt" o:hralign="center" o:hrstd="t" o:hr="t"/>
        </w:pict>
      </w:r>
    </w:p>
    <w:bookmarkEnd w:id="75"/>
    <w:bookmarkEnd w:id="76"/>
    <w:bookmarkStart w:id="77" w:name="X9c0fa5a95aa65503927cbe8b57752b2cbfc3017"/>
    <w:p>
      <w:pPr>
        <w:pStyle w:val="Heading2"/>
      </w:pPr>
      <w:r>
        <w:t xml:space="preserve">Tài liệu tham khảo (trích dẫn trong Chương 4 và 5)</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Barney, J. (1991). Firm resources and sustained competitive advantage.</w:t>
      </w:r>
      <w:r>
        <w:t xml:space="preserve"> </w:t>
      </w:r>
      <w:r>
        <w:rPr>
          <w:iCs/>
          <w:i/>
        </w:rPr>
        <w:t xml:space="preserve">Journal of Management</w:t>
      </w:r>
      <w:r>
        <w:t xml:space="preserve">, 17(1), 99–120.</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w:t>
      </w:r>
      <w:r>
        <w:t xml:space="preserve">, 47(3), 319–347.</w:t>
      </w:r>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Journal of Cleaner Production</w:t>
      </w:r>
      <w:r>
        <w:t xml:space="preserve">, 415, 137843.</w:t>
      </w:r>
    </w:p>
    <w:p>
      <w:pPr>
        <w:pStyle w:val="BodyText"/>
      </w:pPr>
      <w:r>
        <w:t xml:space="preserve">Banalieva, E. R., &amp; Dhanaraj, C. (2019). Internalization theory for the digital economy.</w:t>
      </w:r>
      <w:r>
        <w:t xml:space="preserve"> </w:t>
      </w:r>
      <w:r>
        <w:rPr>
          <w:iCs/>
          <w:i/>
        </w:rPr>
        <w:t xml:space="preserve">Journal of International Business Studies</w:t>
      </w:r>
      <w:r>
        <w:t xml:space="preserve">, 50(8), 1372–1387.</w:t>
      </w:r>
    </w:p>
    <w:p>
      <w:pPr>
        <w:pStyle w:val="BodyText"/>
      </w:pPr>
      <w:r>
        <w:t xml:space="preserve">Borenstein, M., Hedges, L. V., Higgins, J. P. T., &amp; Rothstein, H. R. (2009).</w:t>
      </w:r>
      <w:r>
        <w:t xml:space="preserve"> </w:t>
      </w:r>
      <w:r>
        <w:rPr>
          <w:iCs/>
          <w:i/>
        </w:rPr>
        <w:t xml:space="preserve">Introduction to meta-analysis</w:t>
      </w:r>
      <w:r>
        <w:t xml:space="preserve">. John Wiley &amp; Sons.</w:t>
      </w:r>
    </w:p>
    <w:p>
      <w:pPr>
        <w:pStyle w:val="BodyText"/>
      </w:pPr>
      <w:r>
        <w:t xml:space="preserve">Bustamante, C. V., Moreno-Menéndez, A. M., &amp; Eusse, M. T. (2022). Digital capabilities and international growth of family SMEs.</w:t>
      </w:r>
      <w:r>
        <w:t xml:space="preserve"> </w:t>
      </w:r>
      <w:r>
        <w:rPr>
          <w:iCs/>
          <w:i/>
        </w:rPr>
        <w:t xml:space="preserve">International Business Review</w:t>
      </w:r>
      <w:r>
        <w:t xml:space="preserve">, 31(4), 101985.</w:t>
      </w:r>
    </w:p>
    <w:p>
      <w:pPr>
        <w:pStyle w:val="BodyText"/>
      </w:pPr>
      <w:r>
        <w:t xml:space="preserve">Chen, L., &amp; Meng, B. (2022). How digital finance affects manufacturing firms’ outward FDI: Evidence from China.</w:t>
      </w:r>
      <w:r>
        <w:t xml:space="preserve"> </w:t>
      </w:r>
      <w:r>
        <w:rPr>
          <w:iCs/>
          <w:i/>
        </w:rPr>
        <w:t xml:space="preserve">Journal of International Money and Finance</w:t>
      </w:r>
      <w:r>
        <w:t xml:space="preserve">, 121, 102491.</w:t>
      </w:r>
    </w:p>
    <w:p>
      <w:pPr>
        <w:pStyle w:val="BodyText"/>
      </w:pPr>
      <w:r>
        <w:t xml:space="preserve">Cohen, W. M., &amp; Levinthal, D. A. (1990). Absorptive capacity: A new perspective on learning and innovation.</w:t>
      </w:r>
      <w:r>
        <w:t xml:space="preserve"> </w:t>
      </w:r>
      <w:r>
        <w:rPr>
          <w:iCs/>
          <w:i/>
        </w:rPr>
        <w:t xml:space="preserve">Administrative Science Quarterly</w:t>
      </w:r>
      <w:r>
        <w:t xml:space="preserve">, 35(1), 128–152.</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w:t>
      </w:r>
      <w:r>
        <w:t xml:space="preserve">, 34(1), 5–18.</w:t>
      </w:r>
    </w:p>
    <w:p>
      <w:pPr>
        <w:pStyle w:val="BodyText"/>
      </w:pPr>
      <w:r>
        <w:t xml:space="preserve">Cuervo-Cazurra, A., Luo, Y., Ramamurti, R., &amp; Ang, S. H. (2018). The impact of the home country on internationalization.</w:t>
      </w:r>
      <w:r>
        <w:t xml:space="preserve"> </w:t>
      </w:r>
      <w:r>
        <w:rPr>
          <w:iCs/>
          <w:i/>
        </w:rPr>
        <w:t xml:space="preserve">Journal of World Business</w:t>
      </w:r>
      <w:r>
        <w:t xml:space="preserve">, 53(5), 593–604.</w:t>
      </w:r>
    </w:p>
    <w:p>
      <w:pPr>
        <w:pStyle w:val="BodyText"/>
      </w:pPr>
      <w:r>
        <w:t xml:space="preserve">Đỗ, H., &amp; Phan, T. (2024).</w:t>
      </w:r>
      <w:r>
        <w:t xml:space="preserve"> </w:t>
      </w:r>
      <w:r>
        <w:rPr>
          <w:iCs/>
          <w:i/>
        </w:rPr>
        <w:t xml:space="preserve">Internationalization and firm performance in Asia: A meta-analytic baseline</w:t>
      </w:r>
      <w:r>
        <w:t xml:space="preserve">. Paper presented at the International Conference on Business, Economics and Finance (ICBEF), Can Tho University.</w:t>
      </w:r>
    </w:p>
    <w:p>
      <w:pPr>
        <w:pStyle w:val="BodyText"/>
      </w:pPr>
      <w:r>
        <w:t xml:space="preserve">Egger, M., Smith, G. D., Schneider, M., &amp; Minder, C. (1997). Bias in meta-analysis detected by a simple, graphical test.</w:t>
      </w:r>
      <w:r>
        <w:t xml:space="preserve"> </w:t>
      </w:r>
      <w:r>
        <w:rPr>
          <w:iCs/>
          <w:i/>
        </w:rPr>
        <w:t xml:space="preserve">BMJ</w:t>
      </w:r>
      <w:r>
        <w:t xml:space="preserve">, 315(7109), 629–634.</w:t>
      </w:r>
    </w:p>
    <w:p>
      <w:pPr>
        <w:pStyle w:val="BodyText"/>
      </w:pPr>
      <w:r>
        <w:t xml:space="preserve">Hambrick, D. C. (2007). Upper echelons theory: An update.</w:t>
      </w:r>
      <w:r>
        <w:t xml:space="preserve"> </w:t>
      </w:r>
      <w:r>
        <w:rPr>
          <w:iCs/>
          <w:i/>
        </w:rPr>
        <w:t xml:space="preserve">Academy of Management Review</w:t>
      </w:r>
      <w:r>
        <w:t xml:space="preserve">, 32(2), 334–343.</w:t>
      </w:r>
    </w:p>
    <w:p>
      <w:pPr>
        <w:pStyle w:val="BodyText"/>
      </w:pPr>
      <w:r>
        <w:t xml:space="preserve">Hambrick, D. C., &amp; Mason, P. A. (1984). Upper echelons: The organization as a reflection of its top managers.</w:t>
      </w:r>
      <w:r>
        <w:t xml:space="preserve"> </w:t>
      </w:r>
      <w:r>
        <w:rPr>
          <w:iCs/>
          <w:i/>
        </w:rPr>
        <w:t xml:space="preserve">Academy of Management Review</w:t>
      </w:r>
      <w:r>
        <w:t xml:space="preserve">, 9(2), 193–206.</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w:t>
      </w:r>
      <w:r>
        <w:t xml:space="preserve">, 40(4), 767–798.</w:t>
      </w:r>
    </w:p>
    <w:p>
      <w:pPr>
        <w:pStyle w:val="BodyText"/>
      </w:pPr>
      <w:r>
        <w:t xml:space="preserve">Johanson, J., &amp; Vahlne, J.-E. (1977). The internationalization process of the firm—A model of knowledge development and increasing foreign market commitments.</w:t>
      </w:r>
      <w:r>
        <w:t xml:space="preserve"> </w:t>
      </w:r>
      <w:r>
        <w:rPr>
          <w:iCs/>
          <w:i/>
        </w:rPr>
        <w:t xml:space="preserve">Journal of International Business Studies</w:t>
      </w:r>
      <w:r>
        <w:t xml:space="preserve">, 8(1), 23–32.</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w:t>
      </w:r>
      <w:r>
        <w:t xml:space="preserve">, 40(9), 1411–1431.</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w:t>
      </w:r>
      <w:r>
        <w:t xml:space="preserve">, 3(2),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w:t>
      </w:r>
      <w:r>
        <w:t xml:space="preserve">, 2(2), 108–121.</w:t>
      </w:r>
    </w:p>
    <w:p>
      <w:pPr>
        <w:pStyle w:val="BodyText"/>
      </w:pPr>
      <w:r>
        <w:t xml:space="preserve">Lall, S. (1992). Technological capabilities and industrialization.</w:t>
      </w:r>
      <w:r>
        <w:t xml:space="preserve"> </w:t>
      </w:r>
      <w:r>
        <w:rPr>
          <w:iCs/>
          <w:i/>
        </w:rPr>
        <w:t xml:space="preserve">World Development</w:t>
      </w:r>
      <w:r>
        <w:t xml:space="preserve">, 20(2), 165–186.</w:t>
      </w:r>
    </w:p>
    <w:p>
      <w:pPr>
        <w:pStyle w:val="BodyText"/>
      </w:pPr>
      <w:r>
        <w:t xml:space="preserve">Lu, J. W., &amp; Beamish, P. W. (2004). International diversification and firm performance: The S-curve hypothesis.</w:t>
      </w:r>
      <w:r>
        <w:t xml:space="preserve"> </w:t>
      </w:r>
      <w:r>
        <w:rPr>
          <w:iCs/>
          <w:i/>
        </w:rPr>
        <w:t xml:space="preserve">Academy of Management Journal</w:t>
      </w:r>
      <w:r>
        <w:t xml:space="preserve">, 47(4), 598–609.</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w:t>
      </w:r>
      <w:r>
        <w:t xml:space="preserve">, 42(5),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Page, M. J., McKenzie, J. E., Bossuyt, P. M., Boutron, I., Hoffmann, T. C., Mulrow, C. D., &amp; Moher, D. (2021). The PRISMA 2020 statement: An updated guideline for reporting systematic reviews.</w:t>
      </w:r>
      <w:r>
        <w:t xml:space="preserve"> </w:t>
      </w:r>
      <w:r>
        <w:rPr>
          <w:iCs/>
          <w:i/>
        </w:rPr>
        <w:t xml:space="preserve">BMJ</w:t>
      </w:r>
      <w:r>
        <w:t xml:space="preserve">, 372, n71.</w:t>
      </w:r>
    </w:p>
    <w:p>
      <w:pPr>
        <w:pStyle w:val="BodyText"/>
      </w:pPr>
      <w:r>
        <w:t xml:space="preserve">Peng, M. W. (2003). Institutional transitions and strategic choices.</w:t>
      </w:r>
      <w:r>
        <w:t xml:space="preserve"> </w:t>
      </w:r>
      <w:r>
        <w:rPr>
          <w:iCs/>
          <w:i/>
        </w:rPr>
        <w:t xml:space="preserve">Academy of Management Review</w:t>
      </w:r>
      <w:r>
        <w:t xml:space="preserve">, 28(2), 275–296.</w:t>
      </w:r>
    </w:p>
    <w:p>
      <w:pPr>
        <w:pStyle w:val="BodyText"/>
      </w:pPr>
      <w:r>
        <w:t xml:space="preserve">Post, C., &amp; Byron, K. (2015). Women on boards and firm financial performance: A meta-analysis.</w:t>
      </w:r>
      <w:r>
        <w:t xml:space="preserve"> </w:t>
      </w:r>
      <w:r>
        <w:rPr>
          <w:iCs/>
          <w:i/>
        </w:rPr>
        <w:t xml:space="preserve">Academy of Management Journal</w:t>
      </w:r>
      <w:r>
        <w:t xml:space="preserve">, 58(5), 1546–1571.</w:t>
      </w:r>
    </w:p>
    <w:p>
      <w:pPr>
        <w:pStyle w:val="BodyText"/>
      </w:pPr>
      <w:r>
        <w:t xml:space="preserve">Stallkamp, M., &amp; Schotter, A. P. J. (2021). Platforms without borders? The international strategies of digital platform firms.</w:t>
      </w:r>
      <w:r>
        <w:t xml:space="preserve"> </w:t>
      </w:r>
      <w:r>
        <w:rPr>
          <w:iCs/>
          <w:i/>
        </w:rPr>
        <w:t xml:space="preserve">Global Strategy Journal</w:t>
      </w:r>
      <w:r>
        <w:t xml:space="preserve">, 11(1), 58–80.</w:t>
      </w:r>
    </w:p>
    <w:p>
      <w:pPr>
        <w:pStyle w:val="BodyText"/>
      </w:pPr>
      <w:r>
        <w:t xml:space="preserve">Sullivan, D. (1994). Measuring the degree of internationalization of a firm.</w:t>
      </w:r>
      <w:r>
        <w:t xml:space="preserve"> </w:t>
      </w:r>
      <w:r>
        <w:rPr>
          <w:iCs/>
          <w:i/>
        </w:rPr>
        <w:t xml:space="preserve">Journal of International Business Studies</w:t>
      </w:r>
      <w:r>
        <w:t xml:space="preserve">, 25(2), 325–342.</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w:t>
      </w:r>
      <w:r>
        <w:t xml:space="preserve">, 15(6), 285–305.</w:t>
      </w:r>
    </w:p>
    <w:p>
      <w:pPr>
        <w:pStyle w:val="BodyText"/>
      </w:pPr>
      <w:r>
        <w:t xml:space="preserve">Teece, D. J., Pisano, G., &amp; Shuen, A. (1997). Dynamic capabilities and strategic management.</w:t>
      </w:r>
      <w:r>
        <w:t xml:space="preserve"> </w:t>
      </w:r>
      <w:r>
        <w:rPr>
          <w:iCs/>
          <w:i/>
        </w:rPr>
        <w:t xml:space="preserve">Strategic Management Journal</w:t>
      </w:r>
      <w:r>
        <w:t xml:space="preserve">, 18(7), 509–533.</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Wernerfelt, B. (1984). A resource-based view of the firm.</w:t>
      </w:r>
      <w:r>
        <w:t xml:space="preserve"> </w:t>
      </w:r>
      <w:r>
        <w:rPr>
          <w:iCs/>
          <w:i/>
        </w:rPr>
        <w:t xml:space="preserve">Strategic Management Journal</w:t>
      </w:r>
      <w:r>
        <w:t xml:space="preserve">, 5(2), 171–180.</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w:t>
      </w:r>
      <w:r>
        <w:t xml:space="preserve">, 31(5), 102003.</w:t>
      </w:r>
    </w:p>
    <w:p>
      <w:pPr>
        <w:pStyle w:val="BodyText"/>
      </w:pPr>
      <w:r>
        <w:t xml:space="preserve">Yang, Y., Chen, C., &amp; Yang, H. (2025). Internationalization of digital firms: Systematic review and future research agenda.</w:t>
      </w:r>
      <w:r>
        <w:t xml:space="preserve"> </w:t>
      </w:r>
      <w:r>
        <w:rPr>
          <w:iCs/>
          <w:i/>
        </w:rPr>
        <w:t xml:space="preserve">Journal of International Business Studies</w:t>
      </w:r>
      <w:r>
        <w:t xml:space="preserve">, 56(2), 301–327.</w:t>
      </w:r>
    </w:p>
    <w:p>
      <w:pPr>
        <w:pStyle w:val="BodyText"/>
      </w:pPr>
      <w:r>
        <w:t xml:space="preserve">Zaheer, S. (1995). Overcoming the liability of foreignness.</w:t>
      </w:r>
      <w:r>
        <w:t xml:space="preserve"> </w:t>
      </w:r>
      <w:r>
        <w:rPr>
          <w:iCs/>
          <w:i/>
        </w:rPr>
        <w:t xml:space="preserve">Academy of Management Journal</w:t>
      </w:r>
      <w:r>
        <w:t xml:space="preserve">, 38(2), 341–363.</w:t>
      </w:r>
    </w:p>
    <w:p>
      <w:r>
        <w:pict>
          <v:rect style="width:0;height:1.5pt" o:hralign="center" o:hrstd="t" o:hr="t"/>
        </w:pict>
      </w:r>
    </w:p>
    <w:p>
      <w:pPr>
        <w:pStyle w:val="FirstParagraph"/>
      </w:pPr>
      <w:r>
        <w:rPr>
          <w:iCs/>
          <w:i/>
        </w:rPr>
        <w:t xml:space="preserve">Ghi chú về trích dẫn: Các nghiên cứu phân tích Việt Nam–phân tích SIDS Thái Bình Dương được trích dẫn trong luận án dưới dạng</w:t>
      </w:r>
      <w:r>
        <w:rPr>
          <w:iCs/>
          <w:i/>
        </w:rPr>
        <w:t xml:space="preserve"> </w:t>
      </w:r>
      <w:r>
        <w:rPr>
          <w:iCs/>
          <w:i/>
        </w:rPr>
        <w:t xml:space="preserve">“</w:t>
      </w:r>
      <w:r>
        <w:rPr>
          <w:iCs/>
          <w:i/>
        </w:rPr>
        <w:t xml:space="preserve">Đỗ &amp; Phan, 2026, bản thảo đang chuẩn bị</w:t>
      </w:r>
      <w:r>
        <w:rPr>
          <w:iCs/>
          <w:i/>
        </w:rPr>
        <w:t xml:space="preserve">”</w:t>
      </w:r>
      <w:r>
        <w:rPr>
          <w:iCs/>
          <w:i/>
        </w:rPr>
        <w:t xml:space="preserve"> </w:t>
      </w:r>
      <w:r>
        <w:rPr>
          <w:iCs/>
          <w:i/>
        </w:rPr>
        <w:t xml:space="preserve">theo quy định về trích dẫn tài liệu chưa công bố của Trường Kinh tế, Đại học Cần Thơ. Các nghiên cứu P1 và P2 được trích dẫn theo thông tin công bố chính thức (Đỗ &amp; Phan, 2024, ICBEF).</w:t>
      </w:r>
    </w:p>
    <w:bookmarkEnd w:id="77"/>
    <w:bookmarkEnd w:id="78"/>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2026-05-26T18:09:21Z</dcterms:created>
  <dcterms:modified xsi:type="dcterms:W3CDTF">2026-05-26T18:09:21Z</dcterms:modified>
</cp:coreProperties>
</file>

<file path=docProps/custom.xml><?xml version="1.0" encoding="utf-8"?>
<Properties xmlns="http://schemas.openxmlformats.org/officeDocument/2006/custom-properties" xmlns:vt="http://schemas.openxmlformats.org/officeDocument/2006/docPropsVTypes"/>
</file>