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bookmarkEnd w:id="20"/>
    <w:bookmarkEnd w:id="21"/>
    <w:p>
      <w:r>
        <w:pict>
          <v:rect style="width:0;height:1.5pt" o:hralign="center" o:hrstd="t" o:hr="t"/>
        </w:pict>
      </w:r>
    </w:p>
    <w:bookmarkStart w:id="22" w:name="mục-lục"/>
    <w:p>
      <w:pPr>
        <w:pStyle w:val="Heading1"/>
      </w:pPr>
      <w:r>
        <w:t xml:space="preserve">MỤC LỤC</w:t>
      </w:r>
    </w:p>
    <w:p>
      <w:pPr>
        <w:numPr>
          <w:ilvl w:val="0"/>
          <w:numId w:val="1001"/>
        </w:numPr>
        <w:pStyle w:val="Compact"/>
      </w:pPr>
      <w:r>
        <w:t xml:space="preserve">Định vị dựa trên hiện tượng — vì sao luận án này khác biệt</w:t>
      </w:r>
    </w:p>
    <w:p>
      <w:pPr>
        <w:numPr>
          <w:ilvl w:val="0"/>
          <w:numId w:val="1001"/>
        </w:numPr>
        <w:pStyle w:val="Compact"/>
      </w:pPr>
      <w:r>
        <w:t xml:space="preserve">So sánh với 6 chương trình nghiên cứu tương đương</w:t>
      </w:r>
    </w:p>
    <w:p>
      <w:pPr>
        <w:numPr>
          <w:ilvl w:val="0"/>
          <w:numId w:val="1001"/>
        </w:numPr>
        <w:pStyle w:val="Compact"/>
      </w:pPr>
      <w:r>
        <w:t xml:space="preserve">So sánh với 4 luận án kinh điển trong tài liệu về quan hệ giữa quốc tế hóa và hiệu quả hoạt động</w:t>
      </w:r>
    </w:p>
    <w:p>
      <w:pPr>
        <w:numPr>
          <w:ilvl w:val="0"/>
          <w:numId w:val="1001"/>
        </w:numPr>
        <w:pStyle w:val="Compact"/>
      </w:pPr>
      <w:r>
        <w:t xml:space="preserve">So sánh với các luận án ở châu Á</w:t>
      </w:r>
    </w:p>
    <w:p>
      <w:pPr>
        <w:numPr>
          <w:ilvl w:val="0"/>
          <w:numId w:val="1001"/>
        </w:numPr>
        <w:pStyle w:val="Compact"/>
      </w:pPr>
      <w:r>
        <w:t xml:space="preserve">Luận án Việt Nam cùng chủ đề</w:t>
      </w:r>
    </w:p>
    <w:p>
      <w:pPr>
        <w:numPr>
          <w:ilvl w:val="0"/>
          <w:numId w:val="1001"/>
        </w:numPr>
        <w:pStyle w:val="Compact"/>
      </w:pPr>
      <w:r>
        <w:t xml:space="preserve">Ma trận khác biệt hóa</w:t>
      </w:r>
    </w:p>
    <w:p>
      <w:pPr>
        <w:numPr>
          <w:ilvl w:val="0"/>
          <w:numId w:val="1001"/>
        </w:numPr>
        <w:pStyle w:val="Compact"/>
      </w:pPr>
      <w:r>
        <w:t xml:space="preserve">Các điểm trình bày cho buổi demo với giảng viên hướng dẫn</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với giảng viên hướng dẫn</w:t>
      </w:r>
    </w:p>
    <w:p>
      <w:r>
        <w:pict>
          <v:rect style="width:0;height:1.5pt" o:hralign="center" o:hrstd="t" o:hr="t"/>
        </w:pict>
      </w:r>
    </w:p>
    <w:bookmarkEnd w:id="22"/>
    <w:bookmarkStart w:id="23" w:name="Xf6f47a997e69c5c61f0a15dab729d86b11298e9"/>
    <w:p>
      <w:pPr>
        <w:pStyle w:val="Heading1"/>
      </w:pPr>
      <w:r>
        <w:t xml:space="preserve">1. Định vị dựa trên hiện tượng — vì sao luận án này khác biệt</w:t>
      </w:r>
    </w:p>
    <w:p>
      <w:pPr>
        <w:pStyle w:val="FirstParagraph"/>
      </w:pPr>
      <w:r>
        <w:t xml:space="preserve">Luận án của nghiên cứu sinh là một</w:t>
      </w:r>
      <w:r>
        <w:t xml:space="preserve"> </w:t>
      </w:r>
      <w:r>
        <w:rPr>
          <w:bCs/>
          <w:b/>
        </w:rPr>
        <w:t xml:space="preserve">luận án tích hợp nhiều tuyến phân tích</w:t>
      </w:r>
      <w:r>
        <w:t xml:space="preserve">, dựa trên</w:t>
      </w:r>
      <w:r>
        <w:t xml:space="preserve"> </w:t>
      </w:r>
      <w:r>
        <w:rPr>
          <w:bCs/>
          <w:b/>
        </w:rPr>
        <w:t xml:space="preserve">dữ liệu WBES đa quốc gia ở 45 nền kinh tế</w:t>
      </w:r>
      <w:r>
        <w:t xml:space="preserve"> </w:t>
      </w:r>
      <w:r>
        <w:t xml:space="preserve">và</w:t>
      </w:r>
      <w:r>
        <w:t xml:space="preserve"> </w:t>
      </w:r>
      <w:r>
        <w:rPr>
          <w:bCs/>
          <w:b/>
        </w:rPr>
        <w:t xml:space="preserve">mạch trần thuật về gradient thể chế</w:t>
      </w:r>
      <w:r>
        <w:t xml:space="preserve"> </w:t>
      </w:r>
      <w:r>
        <w:t xml:space="preserve">theo khung ICRV (Institutional Context Regime Variation — Biến thiên chế độ bối cảnh thể chế), trải từ Singapore (ICRV Regime I — Advanced Innovation-Driven) đến Pacific SIDS (ICRV Regime V/Frontier). Trong số 1,745 bài báo sử dụng WBES đã công bố,</w:t>
      </w:r>
      <w:r>
        <w:t xml:space="preserve"> </w:t>
      </w:r>
      <w:r>
        <w:rPr>
          <w:bCs/>
          <w:b/>
        </w:rPr>
        <w:t xml:space="preserve">không có</w:t>
      </w:r>
      <w:r>
        <w:t xml:space="preserve"> </w:t>
      </w:r>
      <w:r>
        <w:t xml:space="preserve">luận án nào có cấu trúc tương đương.</w:t>
      </w:r>
    </w:p>
    <w:p>
      <w:pPr>
        <w:pStyle w:val="BodyText"/>
      </w:pPr>
      <w:r>
        <w:t xml:space="preserve">Tổng luận này đối chiếu luận án với các công trình nghiên cứu quốc tế và châu Á tương đương nhằm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bb641c37adb5958546c23562a2dfbfa14d699f"/>
    <w:p>
      <w:pPr>
        <w:pStyle w:val="Heading1"/>
      </w:pPr>
      <w:r>
        <w:t xml:space="preserve">2. So sánh với 6 chương trình nghiên cứu tương đương</w:t>
      </w:r>
    </w:p>
    <w:bookmarkStart w:id="24" w:name="marano-et-al.-2016-journal-of-management"/>
    <w:p>
      <w:pPr>
        <w:pStyle w:val="Heading2"/>
      </w:pPr>
      <w:r>
        <w:t xml:space="preserve">2.1 Marano et al. (2016) —</w:t>
      </w:r>
      <w:r>
        <w:t xml:space="preserve"> </w:t>
      </w:r>
      <w:r>
        <w:rPr>
          <w:iCs/>
          <w:i/>
        </w:rPr>
        <w:t xml:space="preserve">Journal of Management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47–45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w:t>
      </w:r>
      <w:r>
        <w:t xml:space="preserve"> </w:t>
      </w:r>
      <w:r>
        <w:t xml:space="preserve">“</w:t>
      </w:r>
      <w:r>
        <w:t xml:space="preserve">điều tiết thể chế</w:t>
      </w:r>
      <w:r>
        <w:t xml:space="preserve">”</w:t>
      </w:r>
      <w:r>
        <w:t xml:space="preserve">, còn luận án của nghiên cứu sinh đi xa hơn đến mức</w:t>
      </w:r>
      <w:r>
        <w:t xml:space="preserve"> </w:t>
      </w:r>
      <w:r>
        <w:t xml:space="preserve">“</w:t>
      </w:r>
      <w:r>
        <w:t xml:space="preserve">phụ thuộc thể chế</w:t>
      </w:r>
      <w:r>
        <w:t xml:space="preserve">”</w:t>
      </w:r>
      <w:r>
        <w:t xml:space="preserve"> </w:t>
      </w:r>
      <w:r>
        <w:t xml:space="preserve">(dấu của hiệu ứng đảo chiều khi chế độ thể chế ở mức cực đoan).</w:t>
      </w:r>
    </w:p>
    <w:bookmarkEnd w:id="24"/>
    <w:bookmarkStart w:id="25" w:name="X675bbd6711333258246cb1487096a63339c1524"/>
    <w:p>
      <w:pPr>
        <w:pStyle w:val="Heading2"/>
      </w:pPr>
      <w:r>
        <w:t xml:space="preserve">2.2 Wu, Fan, &amp; Chen (2022) —</w:t>
      </w:r>
      <w:r>
        <w:t xml:space="preserve"> </w:t>
      </w:r>
      <w:r>
        <w:rPr>
          <w:iCs/>
          <w:i/>
        </w:rPr>
        <w:t xml:space="preserve">Management International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47–45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tập trung vào doanh nghiệp đa quốc gia thị trường mới nổi nói chung; nghiên cứu sinh tập trung vào</w:t>
      </w:r>
      <w:r>
        <w:t xml:space="preserve"> </w:t>
      </w:r>
      <w:r>
        <w:rPr>
          <w:bCs/>
          <w:b/>
        </w:rPr>
        <w:t xml:space="preserve">châu Á và Thái Bình Dương</w:t>
      </w:r>
      <w:r>
        <w:t xml:space="preserve">, kèm các</w:t>
      </w:r>
      <w:r>
        <w:t xml:space="preserve"> </w:t>
      </w:r>
      <w:r>
        <w:rPr>
          <w:bCs/>
          <w:b/>
        </w:rPr>
        <w:t xml:space="preserve">trường hợp biên</w:t>
      </w:r>
      <w:r>
        <w:t xml:space="preserve"> </w:t>
      </w:r>
      <w:r>
        <w:t xml:space="preserve">Pacific SIDS mà Wu chưa bao quát.</w:t>
      </w:r>
    </w:p>
    <w:bookmarkEnd w:id="25"/>
    <w:bookmarkStart w:id="26" w:name="Xbad7e70cd4cfe1ff41c4c0a572961df845bb66a"/>
    <w:p>
      <w:pPr>
        <w:pStyle w:val="Heading2"/>
      </w:pPr>
      <w:r>
        <w:t xml:space="preserve">2.3 Kirca, Roth, Hult, &amp; Cavusgil (2012) —</w:t>
      </w:r>
      <w:r>
        <w:t xml:space="preserve"> </w:t>
      </w:r>
      <w:r>
        <w:rPr>
          <w:iCs/>
          <w:i/>
        </w:rPr>
        <w:t xml:space="preserve">Global Strategy Journal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45-economy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đã thiết lập tính phụ thuộc bối cảnh; nghiên cứu sinh mở rộng sang tính điều kiện theo bối cảnh, kèm bằng chứng về sự đảo chiều của dấu hiệu ứng.</w:t>
      </w:r>
    </w:p>
    <w:bookmarkEnd w:id="26"/>
    <w:bookmarkStart w:id="27" w:name="X61587effb55c69149e26ead7acd83b1a1176c3d"/>
    <w:p>
      <w:pPr>
        <w:pStyle w:val="Heading2"/>
      </w:pPr>
      <w:r>
        <w:t xml:space="preserve">2.4 Cuervo-Cazurra, Ciravegna, Melgarejo, &amp; Lopez (2018) —</w:t>
      </w:r>
      <w:r>
        <w:t xml:space="preserve"> </w:t>
      </w:r>
      <w:r>
        <w:rPr>
          <w:iCs/>
          <w:i/>
        </w:rPr>
        <w:t xml:space="preserve">Journal of World Business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47–45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nghiên cứu một quốc gia; nghiên cứu sinh nghiên cứu đa quốc gia kèm gradient thể chế.</w:t>
      </w:r>
    </w:p>
    <w:bookmarkEnd w:id="27"/>
    <w:bookmarkStart w:id="28" w:name="X928b981f46f6dd64d7fab05a2115a0589832040"/>
    <w:p>
      <w:pPr>
        <w:pStyle w:val="Heading2"/>
      </w:pPr>
      <w:r>
        <w:t xml:space="preserve">2.5 Bhandari, Zámborský, Ranta, &amp; Salo (2023) —</w:t>
      </w:r>
      <w:r>
        <w:t xml:space="preserve"> </w:t>
      </w:r>
      <w:r>
        <w:rPr>
          <w:iCs/>
          <w:i/>
        </w:rPr>
        <w:t xml:space="preserve">International Business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47–45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nghiên cứu một quốc gia là Hoa Kỳ, gộp năng lực số theo logic dàn xếp nguồn lực; nghiên cứu sinh nghiên cứu</w:t>
      </w:r>
      <w:r>
        <w:t xml:space="preserve"> </w:t>
      </w:r>
      <w:r>
        <w:rPr>
          <w:bCs/>
          <w:b/>
        </w:rPr>
        <w:t xml:space="preserve">đa quốc gia thị trường mới nổi</w:t>
      </w:r>
      <w:r>
        <w:t xml:space="preserve"> </w:t>
      </w:r>
      <w:r>
        <w:t xml:space="preserve">và</w:t>
      </w:r>
      <w:r>
        <w:t xml:space="preserve"> </w:t>
      </w:r>
      <w:r>
        <w:rPr>
          <w:bCs/>
          <w:b/>
        </w:rPr>
        <w:t xml:space="preserve">tách bạch TCI với DAI</w:t>
      </w:r>
      <w:r>
        <w:t xml:space="preserve"> </w:t>
      </w:r>
      <w:r>
        <w:t xml:space="preserve">(kế thừa Bharadwaj 2013, Verhoef 2021, Cohen &amp; Levinthal 1990, Lall 1992), nhờ đó vững hơn về mặt lý thuyết.</w:t>
      </w:r>
    </w:p>
    <w:bookmarkEnd w:id="28"/>
    <w:bookmarkStart w:id="29" w:name="X1569677a03f9147cd5d6b95f9e5260e968dc7eb"/>
    <w:p>
      <w:pPr>
        <w:pStyle w:val="Heading2"/>
      </w:pPr>
      <w:r>
        <w:t xml:space="preserve">2.6 Chen &amp; Meng (2022) —</w:t>
      </w:r>
      <w:r>
        <w:t xml:space="preserve"> </w:t>
      </w:r>
      <w:r>
        <w:rPr>
          <w:iCs/>
          <w:i/>
        </w:rPr>
        <w:t xml:space="preserve">Managerial and Decision Economics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và Meng chỉ phân tích riêng Trung Quốc; nghiên cứu sinh định vị Trung Quốc trong một gradient rộng hơn.</w:t>
      </w:r>
    </w:p>
    <w:bookmarkEnd w:id="29"/>
    <w:bookmarkEnd w:id="30"/>
    <w:bookmarkStart w:id="35" w:name="X78aea080e7d2733005bc9e209e601db53b462e8"/>
    <w:p>
      <w:pPr>
        <w:pStyle w:val="Heading1"/>
      </w:pPr>
      <w:r>
        <w:t xml:space="preserve">3. So sánh với 4 luận án kinh điển trong tài liệu về quan hệ giữa quốc tế hóa và hiệu quả hoạt động</w:t>
      </w:r>
    </w:p>
    <w:bookmarkStart w:id="31" w:name="Xa0703f80107e1a5fdd14867c21014c2a1cace97"/>
    <w:p>
      <w:pPr>
        <w:pStyle w:val="Heading2"/>
      </w:pPr>
      <w:r>
        <w:t xml:space="preserve">3.1 Lu &amp; Beamish (Japanese MNCs, multiple papers 2001–2004)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 thừa</w:t>
      </w:r>
      <w:r>
        <w:t xml:space="preserve">: nghiên cứu sinh kế thừa khung đường chữ S, mở rộng sang nhiều bối cảnh châu Á và trường hợp cực đoan ở Thái Bình Dương.</w:t>
      </w:r>
    </w:p>
    <w:bookmarkEnd w:id="31"/>
    <w:bookmarkStart w:id="32" w:name="X16880c4dff73a06853cf45a1f4ac7bce4cf10e5"/>
    <w:p>
      <w:pPr>
        <w:pStyle w:val="Heading2"/>
      </w:pPr>
      <w:r>
        <w:t xml:space="preserve">3.2 Contractor, Kumar, &amp; Kundu (2007) —</w:t>
      </w:r>
      <w:r>
        <w:t xml:space="preserve"> </w:t>
      </w:r>
      <w:r>
        <w:rPr>
          <w:iCs/>
          <w:i/>
        </w:rPr>
        <w:t xml:space="preserve">Journal of World Business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8fca58f7723a3dbcbf8f6aa696828d8a2af4cef"/>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Công trình nền tảng về quan hệ chữ U ngược</w:t>
      </w:r>
      <w:r>
        <w:t xml:space="preserve"> </w:t>
      </w:r>
      <w:r>
        <w:t xml:space="preserve">(doanh nghiệp Hoa Kỳ). Nghiên cứu sinh kế thừa khung này và</w:t>
      </w:r>
      <w:r>
        <w:t xml:space="preserve"> </w:t>
      </w:r>
      <w:r>
        <w:rPr>
          <w:bCs/>
          <w:b/>
        </w:rPr>
        <w:t xml:space="preserve">kiểm định các điều kiện biên</w:t>
      </w:r>
      <w:r>
        <w:t xml:space="preserve"> </w:t>
      </w:r>
      <w:r>
        <w:t xml:space="preserve">trong bối cảnh châu Á và Thái Bình Dương.</w:t>
      </w:r>
    </w:p>
    <w:bookmarkEnd w:id="33"/>
    <w:bookmarkStart w:id="34" w:name="Xbf131882a45ad82a66259166123d8702a601232"/>
    <w:p>
      <w:pPr>
        <w:pStyle w:val="Heading2"/>
      </w:pPr>
      <w:r>
        <w:t xml:space="preserve">3.4 Verbeke &amp; Brugman (2018) —</w:t>
      </w:r>
      <w:r>
        <w:t xml:space="preserve"> </w:t>
      </w:r>
      <w:r>
        <w:rPr>
          <w:iCs/>
          <w:i/>
        </w:rPr>
        <w:t xml:space="preserve">Journal of International Business 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 thừa</w:t>
      </w:r>
      <w:r>
        <w:t xml:space="preserve">: Verbeke đặt nghi vấn về quan hệ dương giữa mức độ quốc tế hóa và hiệu quả. Nghiên cứu sinh</w:t>
      </w:r>
      <w:r>
        <w:t xml:space="preserve"> </w:t>
      </w:r>
      <w:r>
        <w:rPr>
          <w:bCs/>
          <w:b/>
        </w:rPr>
        <w:t xml:space="preserve">giải thích sự dị biệt</w:t>
      </w:r>
      <w:r>
        <w:t xml:space="preserve"> </w:t>
      </w:r>
      <w:r>
        <w:t xml:space="preserve">vốn tạo ra cả kết quả dương lẫn âm dọc theo gradient thể chế.</w:t>
      </w:r>
    </w:p>
    <w:bookmarkEnd w:id="34"/>
    <w:bookmarkEnd w:id="35"/>
    <w:bookmarkStart w:id="38" w:name="so-sánh-với-các-luận-án-ở-châu-á"/>
    <w:p>
      <w:pPr>
        <w:pStyle w:val="Heading1"/>
      </w:pPr>
      <w:r>
        <w:t xml:space="preserve">4. So sánh với các luận án ở châu Á</w:t>
      </w:r>
    </w:p>
    <w:p>
      <w:pPr>
        <w:pStyle w:val="FirstParagraph"/>
      </w:pPr>
      <w:r>
        <w:t xml:space="preserve">Kết quả tra cứu trong các kho ProQuest Dissertations, JIBS và AMJ với từ khóa</w:t>
      </w:r>
      <w:r>
        <w:t xml:space="preserve"> </w:t>
      </w:r>
      <w:r>
        <w:t xml:space="preserve">“</w:t>
      </w:r>
      <w:r>
        <w:t xml:space="preserve">internationalization performance Asia dissertation</w:t>
      </w:r>
      <w:r>
        <w:t xml:space="preserve">”</w:t>
      </w:r>
      <w:r>
        <w:t xml:space="preserve">:</w:t>
      </w:r>
    </w:p>
    <w:bookmarkStart w:id="36" w:name="X8e528244a842d086bcf91cedf130c77b25df79d"/>
    <w:p>
      <w:pPr>
        <w:pStyle w:val="Heading2"/>
      </w:pPr>
      <w:r>
        <w:t xml:space="preserve">4.1 Luận án châu Á cùng chủ đề — khuôn mẫu điển hình</w:t>
      </w:r>
    </w:p>
    <w:p>
      <w:pPr>
        <w:numPr>
          <w:ilvl w:val="0"/>
          <w:numId w:val="1002"/>
        </w:numPr>
        <w:pStyle w:val="Compact"/>
      </w:pPr>
      <w:r>
        <w:rPr>
          <w:bCs/>
          <w:b/>
        </w:rPr>
        <w:t xml:space="preserve">Khuôn mẫu</w:t>
      </w:r>
      <w:r>
        <w:t xml:space="preserve">: tập trung 1 quốc gia (Trung Quốc/Hàn Quốc/Đài Loan), 1–3 bài báo, một phương pháp duy nhất</w:t>
      </w:r>
    </w:p>
    <w:p>
      <w:pPr>
        <w:numPr>
          <w:ilvl w:val="0"/>
          <w:numId w:val="1002"/>
        </w:numPr>
        <w:pStyle w:val="Compact"/>
      </w:pPr>
      <w:r>
        <w:rPr>
          <w:bCs/>
          <w:b/>
        </w:rPr>
        <w:t xml:space="preserve">Quy mô mẫu</w:t>
      </w:r>
      <w:r>
        <w:t xml:space="preserve">: 100–1,500 doanh nghiệp</w:t>
      </w:r>
    </w:p>
    <w:p>
      <w:pPr>
        <w:numPr>
          <w:ilvl w:val="0"/>
          <w:numId w:val="1002"/>
        </w:numPr>
        <w:pStyle w:val="Compact"/>
      </w:pPr>
      <w:r>
        <w:rPr>
          <w:bCs/>
          <w:b/>
        </w:rPr>
        <w:t xml:space="preserve">Lý thuyết</w:t>
      </w:r>
      <w:r>
        <w:t xml:space="preserve">: 1–2 khung (lý thuyết dựa trên nguồn lực hoặc lý thuyết thể chế)</w:t>
      </w:r>
    </w:p>
    <w:p>
      <w:pPr>
        <w:numPr>
          <w:ilvl w:val="0"/>
          <w:numId w:val="1002"/>
        </w:numPr>
        <w:pStyle w:val="Compact"/>
      </w:pPr>
      <w:r>
        <w:rPr>
          <w:bCs/>
          <w:b/>
        </w:rPr>
        <w:t xml:space="preserve">Đóng góp</w:t>
      </w:r>
      <w:r>
        <w:t xml:space="preserve">: phát hiện đặc thù theo quốc gia</w:t>
      </w:r>
    </w:p>
    <w:bookmarkEnd w:id="36"/>
    <w:bookmarkStart w:id="37" w:name="X86dfb7786b8e0302f5a3a2fa26048a238ebbebd"/>
    <w:p>
      <w:pPr>
        <w:pStyle w:val="Heading2"/>
      </w:pPr>
      <w:r>
        <w:t xml:space="preserve">4.2 Điểm khác biệt của luận án nghiên cứu sinh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tuyến phân tích</w:t>
            </w:r>
          </w:p>
        </w:tc>
        <w:tc>
          <w:tcPr/>
          <w:p>
            <w:pPr>
              <w:pStyle w:val="Compact"/>
              <w:jc w:val="left"/>
            </w:pPr>
            <w:r>
              <w:t xml:space="preserve">1–3</w:t>
            </w:r>
          </w:p>
        </w:tc>
        <w:tc>
          <w:tcPr/>
          <w:p>
            <w:pPr>
              <w:pStyle w:val="Compact"/>
              <w:jc w:val="left"/>
            </w:pPr>
            <w:r>
              <w:rPr>
                <w:bCs/>
                <w:b/>
              </w:rPr>
              <w:t xml:space="preserve">Nhiều tuyến: tổng hợp + đa quốc gia + theo từng nền kinh tế + trường hợp biên</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bài đã công bố + mức tham chiếu ICBEF proceedings</w:t>
            </w:r>
          </w:p>
        </w:tc>
      </w:tr>
    </w:tbl>
    <w:bookmarkEnd w:id="37"/>
    <w:bookmarkEnd w:id="38"/>
    <w:bookmarkStart w:id="39" w:name="luận-án-việt-nam-cùng-chủ-đề"/>
    <w:p>
      <w:pPr>
        <w:pStyle w:val="Heading1"/>
      </w:pPr>
      <w:r>
        <w:t xml:space="preserve">5. Luận án Việt Nam cùng chủ đề</w:t>
      </w:r>
    </w:p>
    <w:p>
      <w:pPr>
        <w:pStyle w:val="FirstParagraph"/>
      </w:pPr>
      <w:r>
        <w:t xml:space="preserve">Kết quả tra cứu trong cơ sở dữ liệu luận án của các trường CTU, NEU, UEH và Đại học Ngoại thương:</w:t>
      </w:r>
    </w:p>
    <w:p>
      <w:pPr>
        <w:numPr>
          <w:ilvl w:val="0"/>
          <w:numId w:val="1003"/>
        </w:numPr>
        <w:pStyle w:val="Compact"/>
      </w:pPr>
      <w:r>
        <w:t xml:space="preserve">Khuôn mẫu: tập trung 1 ngành hoặc 1 vùng (ví dụ:</w:t>
      </w:r>
      <w:r>
        <w:t xml:space="preserve"> </w:t>
      </w:r>
      <w:r>
        <w:t xml:space="preserve">“</w:t>
      </w:r>
      <w:r>
        <w:t xml:space="preserve">Quốc tế hóa và hiệu quả doanh nghiệp ngành dệt may Việt Nam</w:t>
      </w:r>
      <w:r>
        <w:t xml:space="preserve">”</w:t>
      </w:r>
      <w:r>
        <w:t xml:space="preserve">)</w:t>
      </w:r>
    </w:p>
    <w:p>
      <w:pPr>
        <w:numPr>
          <w:ilvl w:val="0"/>
          <w:numId w:val="1003"/>
        </w:numPr>
        <w:pStyle w:val="Compact"/>
      </w:pPr>
      <w:r>
        <w:t xml:space="preserve">Phương pháp: chủ yếu là dữ liệu bảng đơn quốc gia</w:t>
      </w:r>
    </w:p>
    <w:p>
      <w:pPr>
        <w:numPr>
          <w:ilvl w:val="0"/>
          <w:numId w:val="1003"/>
        </w:numPr>
        <w:pStyle w:val="Compact"/>
      </w:pPr>
      <w:r>
        <w:t xml:space="preserve">Lý thuyết: chủ yếu lý thuyết dựa trên nguồn lực hoặc Uppsala, không tích hợp</w:t>
      </w:r>
    </w:p>
    <w:p>
      <w:pPr>
        <w:numPr>
          <w:ilvl w:val="0"/>
          <w:numId w:val="1003"/>
        </w:numPr>
        <w:pStyle w:val="Compact"/>
      </w:pPr>
      <w:r>
        <w:t xml:space="preserve">Pacific/SIDS: không có luận án nào</w:t>
      </w:r>
    </w:p>
    <w:p>
      <w:pPr>
        <w:pStyle w:val="FirstParagraph"/>
      </w:pPr>
      <w:r>
        <w:rPr>
          <w:bCs/>
          <w:b/>
        </w:rPr>
        <w:t xml:space="preserve">Điểm khác biệt của luận án nghiên cứu sinh</w:t>
      </w:r>
      <w:r>
        <w:t xml:space="preserve">:</w:t>
      </w:r>
      <w:r>
        <w:t xml:space="preserve"> </w:t>
      </w:r>
      <w:r>
        <w:t xml:space="preserve">- Lần đầu tiên nghiên cứu</w:t>
      </w:r>
      <w:r>
        <w:t xml:space="preserve"> </w:t>
      </w:r>
      <w:r>
        <w:rPr>
          <w:bCs/>
          <w:b/>
        </w:rPr>
        <w:t xml:space="preserve">đa quốc gia châu Á và Thái Bình Dương</w:t>
      </w:r>
      <w:r>
        <w:t xml:space="preserve"> </w:t>
      </w:r>
      <w:r>
        <w:t xml:space="preserve">trong một luận án tiến sĩ tại Việt Nam</w:t>
      </w:r>
      <w:r>
        <w:t xml:space="preserve"> </w:t>
      </w:r>
      <w:r>
        <w:t xml:space="preserve">- Lần đầu tiên là</w:t>
      </w:r>
      <w:r>
        <w:t xml:space="preserve"> </w:t>
      </w:r>
      <w:r>
        <w:rPr>
          <w:bCs/>
          <w:b/>
        </w:rPr>
        <w:t xml:space="preserve">luận án tích lũy gồm 8 bài báo</w:t>
      </w:r>
      <w:r>
        <w:t xml:space="preserve">, trong đó 2 bài đã công bố</w:t>
      </w:r>
      <w:r>
        <w:t xml:space="preserve"> </w:t>
      </w:r>
      <w:r>
        <w:t xml:space="preserve">- Lần đầu tiên</w:t>
      </w:r>
      <w:r>
        <w:t xml:space="preserve"> </w:t>
      </w:r>
      <w:r>
        <w:rPr>
          <w:bCs/>
          <w:b/>
        </w:rPr>
        <w:t xml:space="preserve">tích hợp khung 4 tầng cùng lăng kính năng lực số</w:t>
      </w:r>
      <w:r>
        <w:t xml:space="preserve"> </w:t>
      </w:r>
      <w:r>
        <w:t xml:space="preserve">- Lần đầu tiên có một</w:t>
      </w:r>
      <w:r>
        <w:t xml:space="preserve"> </w:t>
      </w:r>
      <w:r>
        <w:rPr>
          <w:bCs/>
          <w:b/>
        </w:rPr>
        <w:t xml:space="preserve">đóng góp lý thuyết được định danh</w:t>
      </w:r>
      <w:r>
        <w:t xml:space="preserve"> </w:t>
      </w:r>
      <w:r>
        <w:t xml:space="preserve">(gánh nặng quốc tế hóa bắt buộc — Forced Internationalization Penalty)</w:t>
      </w:r>
    </w:p>
    <w:bookmarkEnd w:id="39"/>
    <w:bookmarkStart w:id="40" w:name="X01582b53cfc5cf7b42e4fbf75992fb553899db0"/>
    <w:p>
      <w:pPr>
        <w:pStyle w:val="Heading1"/>
      </w:pPr>
      <w:r>
        <w:t xml:space="preserve">6. Ma trận khác biệt hóa — luận án của nghiên cứu sinh so với 7 mốc tham chiếu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phân tích Việt Nam và tổng hợp)</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85dd6b1c221705be2fa5a60182b3887011946ea"/>
    <w:p>
      <w:pPr>
        <w:pStyle w:val="Heading1"/>
      </w:pPr>
      <w:r>
        <w:t xml:space="preserve">7. Các điểm trình bày cho buổi demo với giảng viên hướng dẫn</w:t>
      </w:r>
    </w:p>
    <w:bookmarkStart w:id="41" w:name="vì-sao-luận-án-này-khác-và-có-đóng-góp"/>
    <w:p>
      <w:pPr>
        <w:pStyle w:val="Heading2"/>
      </w:pPr>
      <w:r>
        <w:t xml:space="preserve">7.1</w:t>
      </w:r>
      <w:r>
        <w:t xml:space="preserve"> </w:t>
      </w:r>
      <w:r>
        <w:t xml:space="preserve">“</w:t>
      </w:r>
      <w:r>
        <w:t xml:space="preserve">Vì sao luận án này khác và có đóng góp</w:t>
      </w:r>
      <w:r>
        <w:t xml:space="preserve">”</w:t>
      </w:r>
    </w:p>
    <w:p>
      <w:pPr>
        <w:pStyle w:val="FirstParagraph"/>
      </w:pPr>
      <w:r>
        <w:t xml:space="preserve">Mở đầu bằng một lời dẫn dựa trên hiện tượng:</w:t>
      </w:r>
    </w:p>
    <w:p>
      <w:pPr>
        <w:pStyle w:val="BlockText"/>
      </w:pPr>
      <w:r>
        <w:t xml:space="preserve">“</w:t>
      </w:r>
      <w:r>
        <w:t xml:space="preserve">Trong 50 năm nghiên cứu về quan hệ giữa quốc tế hóa và hiệu quả hoạt động, vẫn còn một khoảng trống cơ bản: chưa ai kiểm định xem</w:t>
      </w:r>
      <w:r>
        <w:t xml:space="preserve"> </w:t>
      </w:r>
      <w:r>
        <w:rPr>
          <w:bCs/>
          <w:b/>
        </w:rPr>
        <w:t xml:space="preserve">quan hệ chữ U ngược là một quy luật phổ quát hay chỉ là một quan hệ có điều kiện</w:t>
      </w:r>
      <w:r>
        <w:t xml:space="preserve">. Luận án này kiểm định điều đó qua một mạch gradient thể chế từ Singapore (chế độ I) đến Pacific SIDS (chế độ cực đoan), và phát hiện rằng chữ U ngược</w:t>
      </w:r>
      <w:r>
        <w:t xml:space="preserve"> </w:t>
      </w:r>
      <w:r>
        <w:rPr>
          <w:bCs/>
          <w:b/>
        </w:rPr>
        <w:t xml:space="preserve">không phổ quát</w:t>
      </w:r>
      <w:r>
        <w:t xml:space="preserve">: nó đảo dấu khi cả 3 điều kiện tiên quyết đều thiếu vắng.</w:t>
      </w:r>
      <w:r>
        <w:t xml:space="preserve">”</w:t>
      </w:r>
    </w:p>
    <w:bookmarkEnd w:id="41"/>
    <w:bookmarkStart w:id="42" w:name="đóng-góp-chính-ở-đâu"/>
    <w:p>
      <w:pPr>
        <w:pStyle w:val="Heading2"/>
      </w:pPr>
      <w:r>
        <w:t xml:space="preserve">7.2</w:t>
      </w:r>
      <w:r>
        <w:t xml:space="preserve"> </w:t>
      </w:r>
      <w:r>
        <w:t xml:space="preserve">“</w:t>
      </w:r>
      <w:r>
        <w:t xml:space="preserve">Đóng góp chính ở đâu</w:t>
      </w:r>
      <w:r>
        <w:t xml:space="preserve">”</w:t>
      </w:r>
    </w:p>
    <w:p>
      <w:pPr>
        <w:pStyle w:val="FirstParagraph"/>
      </w:pPr>
      <w:r>
        <w:t xml:space="preserve">Trục thống nhất của toàn luận án là</w:t>
      </w:r>
      <w:r>
        <w:t xml:space="preserve"> </w:t>
      </w:r>
      <w:r>
        <w:rPr>
          <w:bCs/>
          <w:b/>
        </w:rPr>
        <w:t xml:space="preserve">bản đồ địa hình xuất khẩu chiến lược (strategic export topography)</w:t>
      </w:r>
      <w:r>
        <w:t xml:space="preserve">, trên đó ICRV vận hành như một</w:t>
      </w:r>
      <w:r>
        <w:t xml:space="preserve"> </w:t>
      </w:r>
      <w:r>
        <w:rPr>
          <w:bCs/>
          <w:b/>
        </w:rPr>
        <w:t xml:space="preserve">bộ lọc chi phí giao dịch (transaction cost filter)</w:t>
      </w:r>
      <w:r>
        <w:t xml:space="preserve"> </w:t>
      </w:r>
      <w:r>
        <w:t xml:space="preserve">tương tác với mức độ chấp nhận số: chính trục này gắn kết tám bài báo thành một lập luận liền mạch, từ phá ảo ảnh bằng chứng (phân tích tổng hợp) đến vẽ bản đồ gradient (phân tích đa quốc gia 45 nền kinh tế) và kiểm chứng từng vùng địa hình (phân tích Việt Nam–phân tích Trung Quốc và SIDS Thái Bình Dương). Trên nền trục đó, 3 đóng góp chưa từng có trong tài liệu nghiên cứu:</w:t>
      </w:r>
    </w:p>
    <w:p>
      <w:pPr>
        <w:numPr>
          <w:ilvl w:val="0"/>
          <w:numId w:val="1004"/>
        </w:numPr>
        <w:pStyle w:val="Compact"/>
      </w:pPr>
      <w:r>
        <w:rPr>
          <w:bCs/>
          <w:b/>
        </w:rPr>
        <w:t xml:space="preserve">Về lý thuyết</w:t>
      </w:r>
      <w:r>
        <w:t xml:space="preserve">: gánh nặng quốc tế hóa bắt buộc là đóng góp được định danh đầu tiên cho trường hợp biên của quan hệ giữa quốc tế hóa và hiệu quả hoạt động</w:t>
      </w:r>
    </w:p>
    <w:p>
      <w:pPr>
        <w:numPr>
          <w:ilvl w:val="0"/>
          <w:numId w:val="1004"/>
        </w:numPr>
        <w:pStyle w:val="Compact"/>
      </w:pPr>
      <w:r>
        <w:rPr>
          <w:bCs/>
          <w:b/>
        </w:rPr>
        <w:t xml:space="preserve">Về phương pháp</w:t>
      </w:r>
      <w:r>
        <w:t xml:space="preserve">: việc tách bạch TCI với DAI (kế thừa Bharadwaj et al. 2013, Verhoef et al. 2021, Cohen &amp; Levinthal 1990, Lall 1992; thỏa 4 tiêu chí của Coltman et al. 2008) bảo đảm độ thuần khái niệm</w:t>
      </w:r>
    </w:p>
    <w:p>
      <w:pPr>
        <w:numPr>
          <w:ilvl w:val="0"/>
          <w:numId w:val="1004"/>
        </w:numPr>
        <w:pStyle w:val="Compact"/>
      </w:pPr>
      <w:r>
        <w:rPr>
          <w:bCs/>
          <w:b/>
        </w:rPr>
        <w:t xml:space="preserve">Về thực nghiệm</w:t>
      </w:r>
      <w:r>
        <w:t xml:space="preserve">: bằng chứng đa quốc gia đầu tiên cho Pacific SIDS trên dữ liệu WBES (trong 1,745 bài báo, có 0 bài bao quát quan hệ này ở Thái Bình Dương)</w:t>
      </w:r>
    </w:p>
    <w:bookmarkEnd w:id="42"/>
    <w:bookmarkStart w:id="43" w:name="vì-sao-chưa-lo-ngại-về-việc-có-8-bài-báo"/>
    <w:p>
      <w:pPr>
        <w:pStyle w:val="Heading2"/>
      </w:pPr>
      <w:r>
        <w:t xml:space="preserve">7.3</w:t>
      </w:r>
      <w:r>
        <w:t xml:space="preserve"> </w:t>
      </w:r>
      <w:r>
        <w:t xml:space="preserve">“</w:t>
      </w:r>
      <w:r>
        <w:t xml:space="preserve">Vì sao chưa lo ngại về việc có 8 bài báo</w:t>
      </w:r>
      <w:r>
        <w:t xml:space="preserve">”</w:t>
      </w:r>
    </w:p>
    <w:p>
      <w:pPr>
        <w:numPr>
          <w:ilvl w:val="0"/>
          <w:numId w:val="1005"/>
        </w:numPr>
        <w:pStyle w:val="Compact"/>
      </w:pPr>
      <w:r>
        <w:t xml:space="preserve">2 bài đã công bố (P1 VEFR, P2 JFAR) chứng tỏ năng lực công bố</w:t>
      </w:r>
    </w:p>
    <w:p>
      <w:pPr>
        <w:numPr>
          <w:ilvl w:val="0"/>
          <w:numId w:val="1005"/>
        </w:numPr>
        <w:pStyle w:val="Compact"/>
      </w:pPr>
      <w:r>
        <w:t xml:space="preserve">1 bài đã có trong kỷ yếu ICBEF 2025 (phân tích tổng hợp baseline)</w:t>
      </w:r>
    </w:p>
    <w:p>
      <w:pPr>
        <w:numPr>
          <w:ilvl w:val="0"/>
          <w:numId w:val="1005"/>
        </w:numPr>
        <w:pStyle w:val="Compact"/>
      </w:pPr>
      <w:r>
        <w:t xml:space="preserve">5 bài đang ở các giai đoạn bản thảo khác nhau (phân tích Việt Nam, Singapore và Trung Quốc, phân tích đa quốc gia và SIDS Thái Bình Dương)</w:t>
      </w:r>
    </w:p>
    <w:p>
      <w:pPr>
        <w:numPr>
          <w:ilvl w:val="0"/>
          <w:numId w:val="1005"/>
        </w:numPr>
        <w:pStyle w:val="Compact"/>
      </w:pPr>
      <w:r>
        <w:t xml:space="preserve">Cấu trúc luận án tích lũy là quy chuẩn phổ biến ở châu Âu và Bắc Mỹ, phù hợp với quy chuẩn Việt Nam</w:t>
      </w:r>
    </w:p>
    <w:bookmarkEnd w:id="43"/>
    <w:bookmarkStart w:id="44" w:name="vấn-đề-về-công-bố"/>
    <w:p>
      <w:pPr>
        <w:pStyle w:val="Heading2"/>
      </w:pPr>
      <w:r>
        <w:t xml:space="preserve">7.4</w:t>
      </w:r>
      <w:r>
        <w:t xml:space="preserve"> </w:t>
      </w:r>
      <w:r>
        <w:t xml:space="preserve">“</w:t>
      </w:r>
      <w:r>
        <w:t xml:space="preserve">Vấn đề về công bố</w:t>
      </w:r>
      <w:r>
        <w:t xml:space="preserve">”</w:t>
      </w:r>
    </w:p>
    <w:p>
      <w:pPr>
        <w:numPr>
          <w:ilvl w:val="0"/>
          <w:numId w:val="1006"/>
        </w:numPr>
        <w:pStyle w:val="Compact"/>
      </w:pPr>
      <w:r>
        <w:t xml:space="preserve">P1 (VEFR 2026), P2 (JFAR 2026): đã công bố</w:t>
      </w:r>
    </w:p>
    <w:p>
      <w:pPr>
        <w:numPr>
          <w:ilvl w:val="0"/>
          <w:numId w:val="1006"/>
        </w:numPr>
        <w:pStyle w:val="Compact"/>
      </w:pPr>
      <w:r>
        <w:t xml:space="preserve">phân tích tổng hợp baseline (ICBEF 2025): đã công bố</w:t>
      </w:r>
    </w:p>
    <w:p>
      <w:pPr>
        <w:numPr>
          <w:ilvl w:val="0"/>
          <w:numId w:val="1006"/>
        </w:numPr>
        <w:pStyle w:val="Compact"/>
      </w:pPr>
      <w:r>
        <w:t xml:space="preserve">phân tích Việt Nam: bản thảo hoàn chỉnh — hướng tới JABS (Journal of Asia Business Studies, Emerald)</w:t>
      </w:r>
    </w:p>
    <w:p>
      <w:pPr>
        <w:numPr>
          <w:ilvl w:val="0"/>
          <w:numId w:val="1006"/>
        </w:numPr>
        <w:pStyle w:val="Compact"/>
      </w:pPr>
      <w:r>
        <w:t xml:space="preserve">phân tích Singapore: bản thảo hoàn chỉnh — hướng tới MIR (Management International Review, Springer)</w:t>
      </w:r>
    </w:p>
    <w:p>
      <w:pPr>
        <w:numPr>
          <w:ilvl w:val="0"/>
          <w:numId w:val="1006"/>
        </w:numPr>
        <w:pStyle w:val="Compact"/>
      </w:pPr>
      <w:r>
        <w:t xml:space="preserve">phân tích Trung Quốc: bản thảo hoàn chỉnh — hướng tới IJOEM (International Journal of Emerging Markets, Emerald)</w:t>
      </w:r>
    </w:p>
    <w:p>
      <w:pPr>
        <w:numPr>
          <w:ilvl w:val="0"/>
          <w:numId w:val="1006"/>
        </w:numPr>
        <w:pStyle w:val="Compact"/>
      </w:pPr>
      <w:r>
        <w:t xml:space="preserve">phân tích tổng hợp: bản thảo hoàn chỉnh — IBR (International Business Review, Elsevier),</w:t>
      </w:r>
    </w:p>
    <w:p>
      <w:pPr>
        <w:numPr>
          <w:ilvl w:val="0"/>
          <w:numId w:val="1006"/>
        </w:numPr>
        <w:pStyle w:val="Compact"/>
      </w:pPr>
      <w:r>
        <w:t xml:space="preserve">phân tích đa quốc gia: bản thảo hoàn chỉnh — JIBS (Journal of International Business Studies), đang chỉnh sửa</w:t>
      </w:r>
    </w:p>
    <w:p>
      <w:pPr>
        <w:numPr>
          <w:ilvl w:val="0"/>
          <w:numId w:val="1006"/>
        </w:numPr>
        <w:pStyle w:val="Compact"/>
      </w:pPr>
      <w:r>
        <w:t xml:space="preserve">phân tích SIDS Thái Bình Dương: bản thảo hoàn chỉnh — World Development (Elsevier), đang chỉnh sửa</w:t>
      </w:r>
    </w:p>
    <w:p>
      <w:pPr>
        <w:pStyle w:val="FirstParagraph"/>
      </w:pPr>
      <w:r>
        <w:t xml:space="preserve">Lộ trình</w:t>
      </w:r>
      <w:r>
        <w:t xml:space="preserve"> </w:t>
      </w:r>
      <w:r>
        <w:rPr>
          <w:bCs/>
          <w:b/>
        </w:rPr>
        <w:t xml:space="preserve">dự kiến tốt nghiệp năm 2027</w:t>
      </w:r>
      <w:r>
        <w:t xml:space="preserve">:</w:t>
      </w:r>
      <w:r>
        <w:t xml:space="preserve"> </w:t>
      </w:r>
      <w:r>
        <w:t xml:space="preserve">- 2026 H2: nộp phân tích Việt Nam, Singapore và Trung Quốc — hồ sơ nộp bài hoàn chỉnh (JABS/MIR/IJOEM)</w:t>
      </w:r>
      <w:r>
        <w:t xml:space="preserve"> </w:t>
      </w:r>
      <w:r>
        <w:t xml:space="preserve">- 2027 H1: ít nhất 1 bài được chấp nhận; nộp lại các bản chỉnh sửa phân tích tổng hợp và đa quốc gia/phân tích SIDS Thái Bình Dương</w:t>
      </w:r>
      <w:r>
        <w:t xml:space="preserve"> </w:t>
      </w:r>
      <w:r>
        <w:t xml:space="preserve">- 2027 H2: bảo vệ luận án</w:t>
      </w:r>
    </w:p>
    <w:bookmarkEnd w:id="44"/>
    <w:bookmarkEnd w:id="45"/>
    <w:bookmarkStart w:id="50" w:name="X01645f258c2191480edef8aa982c3eddd6a2ff8"/>
    <w:p>
      <w:pPr>
        <w:pStyle w:val="Heading1"/>
      </w:pPr>
      <w:r>
        <w:t xml:space="preserve">8. Câu hỏi thường được hỏi và câu trả lời chuẩn bị sẵn</w:t>
      </w:r>
    </w:p>
    <w:bookmarkStart w:id="46" w:name="Xc244adeaacdea2076c3c5599a520a4c166e7500"/>
    <w:p>
      <w:pPr>
        <w:pStyle w:val="Heading2"/>
      </w:pPr>
      <w:r>
        <w:t xml:space="preserve">8.1 GVHD có thể hỏi:</w:t>
      </w:r>
      <w:r>
        <w:t xml:space="preserve"> </w:t>
      </w:r>
      <w:r>
        <w:t xml:space="preserve">“</w:t>
      </w:r>
      <w:r>
        <w:t xml:space="preserve">Vì sao lại nhiều quốc gia đến vậy (~49)?</w:t>
      </w:r>
      <w:r>
        <w:t xml:space="preserve">”</w:t>
      </w:r>
    </w:p>
    <w:p>
      <w:pPr>
        <w:pStyle w:val="FirstParagraph"/>
      </w:pPr>
      <w:r>
        <w:rPr>
          <w:bCs/>
          <w:b/>
        </w:rPr>
        <w:t xml:space="preserve">Trả lời</w:t>
      </w:r>
      <w:r>
        <w:t xml:space="preserve">: Tính mới của luận án nằm ở việc chứng minh rằng</w:t>
      </w:r>
      <w:r>
        <w:t xml:space="preserve"> </w:t>
      </w:r>
      <w:r>
        <w:rPr>
          <w:bCs/>
          <w:b/>
        </w:rPr>
        <w:t xml:space="preserve">quan hệ chữ U ngược có các điều kiện biên</w:t>
      </w:r>
      <w:r>
        <w:t xml:space="preserve">. Mỗi chế độ thể chế cần ít nhất 3 quốc gia để bảo đảm công suất thống kê (chuẩn của Marano 2016 là từ 5 quốc gia trở lên cho mỗi chế độ). 45 nền kinh tế chia thành 6 chế độ (ICRV I–VI), trung bình khoảng 8 nền kinh tế mỗi chế độ, đủ công suất thống kê.</w:t>
      </w:r>
    </w:p>
    <w:bookmarkEnd w:id="46"/>
    <w:bookmarkStart w:id="47" w:name="gvhd-có-thể-hỏi-vì-sao-không-dùng-panel"/>
    <w:p>
      <w:pPr>
        <w:pStyle w:val="Heading2"/>
      </w:pPr>
      <w:r>
        <w:t xml:space="preserve">8.2 GVHD có thể hỏi:</w:t>
      </w:r>
      <w:r>
        <w:t xml:space="preserve"> </w:t>
      </w:r>
      <w:r>
        <w:t xml:space="preserve">“</w:t>
      </w:r>
      <w:r>
        <w:t xml:space="preserve">Vì sao không dùng panel?</w:t>
      </w:r>
      <w:r>
        <w:t xml:space="preserve">”</w:t>
      </w:r>
    </w:p>
    <w:p>
      <w:pPr>
        <w:pStyle w:val="FirstParagraph"/>
      </w:pPr>
      <w:r>
        <w:rPr>
          <w:bCs/>
          <w:b/>
        </w:rPr>
        <w:t xml:space="preserve">Trả lời</w:t>
      </w:r>
      <w:r>
        <w:t xml:space="preserve">: WBES không phải dữ liệu bảng theo cùng doanh nghiệp mà là các lát cắt ngang lặp lại. Một lưu ý cho luận án: nên dành phần nghiên cứu tương lai cho dữ liệu bảng tại 4 quốc gia có từ 2 làn sóng trở lên (Cambodia, India, Bangladesh, Pakistan, v.v.).</w:t>
      </w:r>
    </w:p>
    <w:bookmarkEnd w:id="47"/>
    <w:bookmarkStart w:id="48" w:name="X3c2b78d82b8df299d540eefd6ff8ecce471a1da"/>
    <w:p>
      <w:pPr>
        <w:pStyle w:val="Heading2"/>
      </w:pPr>
      <w:r>
        <w:t xml:space="preserve">8.3 GVHD có thể hỏi:</w:t>
      </w:r>
      <w:r>
        <w:t xml:space="preserve"> </w:t>
      </w:r>
      <w:r>
        <w:t xml:space="preserve">“</w:t>
      </w:r>
      <w:r>
        <w:t xml:space="preserve">Vì sao tách bạch TCI và DAI thay vì gộp thành một cấu trúc số duy nhất?</w:t>
      </w:r>
      <w:r>
        <w:t xml:space="preserve">”</w:t>
      </w:r>
    </w:p>
    <w:p>
      <w:pPr>
        <w:pStyle w:val="FirstParagraph"/>
      </w:pPr>
      <w:r>
        <w:rPr>
          <w:bCs/>
          <w:b/>
        </w:rPr>
        <w:t xml:space="preserve">Trả lời</w:t>
      </w:r>
      <w:r>
        <w:t xml:space="preserve">: Việc tách bạch dựa trên 5 nguồn lý thuyết kinh doanh quốc tế chính thống: (i) Bharadwaj et al. (2013, MIS Quarterly) phân biệt năng lực công nghệ thông tin với chiến lược kinh doanh số; (ii) Verhoef et al. (2021, JBR) phân tầng 3 cấp số hóa dữ liệu, số hóa quy trình và chuyển đổi số; (iii) Cohen &amp; Levinthal (1990, ASQ) và Lall (1992, World Development) coi năng lực công nghệ là chiều sâu năng lực nội tại (năng lực hấp thụ), khác về bản chất với mức độ chấp nhận số ở giao diện bên ngoài; (iv) Bhandari et al. (2023, IBR) áp dụng logic dàn xếp nguồn lực cho quan hệ giữa quốc tế hóa và hiệu quả hoạt động, cho thấy các khái niệm số có mạng lưới khái niệm khác nhau; và (v) Coltman et al. (2008, JBR) đưa ra 4 tiêu chí cho phép TCI và DAI là hai cấu trúc tổng hợp độc lập. Vì vậy, nghiên cứu sinh dùng TCI và DAI riêng biệt (khái niệm sạch hơn) thay vì gộp thành một cấu trúc tổng hợp duy nhất.</w:t>
      </w:r>
    </w:p>
    <w:bookmarkEnd w:id="48"/>
    <w:bookmarkStart w:id="49" w:name="Xae079deae3290a72e821614280c590b884041b7"/>
    <w:p>
      <w:pPr>
        <w:pStyle w:val="Heading2"/>
      </w:pPr>
      <w:r>
        <w:t xml:space="preserve">8.4 GVHD có thể hỏi:</w:t>
      </w:r>
      <w:r>
        <w:t xml:space="preserve"> </w:t>
      </w:r>
      <w:r>
        <w:t xml:space="preserve">“</w:t>
      </w:r>
      <w:r>
        <w:t xml:space="preserve">phân tích SIDS Thái Bình Dương Pacific không thuộc châu Á, vì sao lại đưa vào luận án?</w:t>
      </w:r>
      <w:r>
        <w:t xml:space="preserve">”</w:t>
      </w:r>
    </w:p>
    <w:p>
      <w:pPr>
        <w:pStyle w:val="FirstParagraph"/>
      </w:pPr>
      <w:r>
        <w:rPr>
          <w:bCs/>
          <w:b/>
        </w:rPr>
        <w:t xml:space="preserve">Trả lời</w:t>
      </w:r>
      <w:r>
        <w:t xml:space="preserve">: Có 3 lý do.</w:t>
      </w:r>
      <w:r>
        <w:t xml:space="preserve"> </w:t>
      </w:r>
      <w:r>
        <w:t xml:space="preserve">1.</w:t>
      </w:r>
      <w:r>
        <w:t xml:space="preserve"> </w:t>
      </w:r>
      <w:r>
        <w:rPr>
          <w:bCs/>
          <w:b/>
        </w:rPr>
        <w:t xml:space="preserve">Về thực nghiệm</w:t>
      </w:r>
      <w:r>
        <w:t xml:space="preserve">: Pacific SIDS là chế độ thể chế cực đoan, cần thiết để chứng minh rằng quan hệ chữ U ngược</w:t>
      </w:r>
      <w:r>
        <w:t xml:space="preserve"> </w:t>
      </w:r>
      <w:r>
        <w:rPr>
          <w:bCs/>
          <w:b/>
        </w:rPr>
        <w:t xml:space="preserve">thất bại</w:t>
      </w:r>
      <w:r>
        <w:t xml:space="preserve"> </w:t>
      </w:r>
      <w:r>
        <w:t xml:space="preserve">ở vùng biên</w:t>
      </w:r>
      <w:r>
        <w:t xml:space="preserve"> </w:t>
      </w:r>
      <w:r>
        <w:t xml:space="preserve">2.</w:t>
      </w:r>
      <w:r>
        <w:t xml:space="preserve"> </w:t>
      </w:r>
      <w:r>
        <w:rPr>
          <w:bCs/>
          <w:b/>
        </w:rPr>
        <w:t xml:space="preserve">Về lý thuyết</w:t>
      </w:r>
      <w:r>
        <w:t xml:space="preserve">: cách khung</w:t>
      </w:r>
      <w:r>
        <w:t xml:space="preserve"> </w:t>
      </w:r>
      <w:r>
        <w:t xml:space="preserve">“</w:t>
      </w:r>
      <w:r>
        <w:t xml:space="preserve">châu Á và các khu vực lân cận</w:t>
      </w:r>
      <w:r>
        <w:t xml:space="preserve">”</w:t>
      </w:r>
      <w:r>
        <w:t xml:space="preserve"> </w:t>
      </w:r>
      <w:r>
        <w:t xml:space="preserve">được chấp nhận rộng rãi trong tài liệu nghiên cứu (ví dụ: Ngân hàng Phát triển châu Á bao gồm cả Thái Bình Dương)</w:t>
      </w:r>
      <w:r>
        <w:t xml:space="preserve"> </w:t>
      </w:r>
      <w:r>
        <w:t xml:space="preserve">3.</w:t>
      </w:r>
      <w:r>
        <w:t xml:space="preserve"> </w:t>
      </w:r>
      <w:r>
        <w:rPr>
          <w:bCs/>
          <w:b/>
        </w:rPr>
        <w:t xml:space="preserve">Về phương pháp</w:t>
      </w:r>
      <w:r>
        <w:t xml:space="preserve">: Pacific sử dụng cùng bộ công cụ WBES, nên dữ liệu có thể so sánh được</w:t>
      </w:r>
    </w:p>
    <w:bookmarkEnd w:id="49"/>
    <w:bookmarkEnd w:id="50"/>
    <w:bookmarkStart w:id="51" w:name="references-apa-7-để-dùng-trong-demo"/>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9546b4349eba1231ba7dea814629ace276c8c15"/>
    <w:p>
      <w:pPr>
        <w:pStyle w:val="Heading1"/>
      </w:pPr>
      <w:r>
        <w:t xml:space="preserve">10. Tóm tắt 1 trang cho buổi demo với giảng viên hướng dẫn</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(P1–phân tích SIDS Thái Bình Dương):</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phân tích Việt Nam Vietnam — Nhóm IV (Lower_mid_transition), inverted-U (TP ~39–46% FSTS), DAI Tier-1 (draft → JABS)</w:t>
      </w:r>
      <w:r>
        <w:br/>
      </w:r>
      <w:r>
        <w:rPr>
          <w:rStyle w:val="VerbatimChar"/>
        </w:rPr>
        <w:t xml:space="preserve">✅ phân tích Singapore — Advanced I, inverted-U (TP ~82% FSTS), DAI Tier-1+2 moderation (draft → MIR)</w:t>
      </w:r>
      <w:r>
        <w:br/>
      </w:r>
      <w:r>
        <w:rPr>
          <w:rStyle w:val="VerbatimChar"/>
        </w:rPr>
        <w:t xml:space="preserve">✅ phân tích Trung Quốc China temporal 2012–2024</w:t>
      </w:r>
      <w:r>
        <w:br/>
      </w:r>
      <w:r>
        <w:rPr>
          <w:rStyle w:val="VerbatimChar"/>
        </w:rPr>
        <w:t xml:space="preserve">✅ phân tích tổng hợp Meta-analysis three-level MARA k=238 (r=0.074, I²=62.4%, ICRV Q_M=17.35**)</w:t>
      </w:r>
      <w:r>
        <w:br/>
      </w:r>
      <w:r>
        <w:rPr>
          <w:rStyle w:val="VerbatimChar"/>
        </w:rPr>
        <w:t xml:space="preserve">✅ phân tích đa quốc gia Asian capstone TCI+DAI multi-country (N=82,302, TP≈37%, DAI moderation p&lt;.01)</w:t>
      </w:r>
      <w:r>
        <w:br/>
      </w:r>
      <w:r>
        <w:rPr>
          <w:rStyle w:val="VerbatimChar"/>
        </w:rPr>
        <w:t xml:space="preserve">✅ phân tích SIDS Thái Bình Dương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phân tích đa quốc gia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(phân tích đa quốc gia code: ICRV_MAP["Vietnam"]=4; data registry: Group IV). Nhãn "Frontier V" trước đây trong phân tích Việt Nam đã được sửa thành "Nhóm IV" — nhóm V (Emerging trong phân tích đa quốc gia)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733137db982579c604977091ba9990d8f00f46a"/>
    <w:p>
      <w:pPr>
        <w:pStyle w:val="Heading1"/>
      </w:pPr>
      <w:r>
        <w:t xml:space="preserve">11. File kèm theo để demo với giảng viên hướng dẫn</w:t>
      </w:r>
    </w:p>
    <w:p>
      <w:pPr>
        <w:numPr>
          <w:ilvl w:val="0"/>
          <w:numId w:val="1007"/>
        </w:numPr>
        <w:pStyle w:val="Compact"/>
      </w:pPr>
      <w:r>
        <w:rPr>
          <w:rStyle w:val="VerbatimChar"/>
        </w:rPr>
        <w:t xml:space="preserve">00_optimal_plan_vi.md</w:t>
      </w:r>
      <w:r>
        <w:t xml:space="preserve"> </w:t>
      </w:r>
      <w:r>
        <w:t xml:space="preserve">— tính mới và đóng góp chi tiết</w:t>
      </w:r>
    </w:p>
    <w:p>
      <w:pPr>
        <w:numPr>
          <w:ilvl w:val="0"/>
          <w:numId w:val="1007"/>
        </w:numPr>
        <w:pStyle w:val="Compact"/>
      </w:pPr>
      <w:r>
        <w:rPr>
          <w:rStyle w:val="VerbatimChar"/>
        </w:rPr>
        <w:t xml:space="preserve">01_chapter_outline_vi.md</w:t>
      </w:r>
      <w:r>
        <w:t xml:space="preserve"> </w:t>
      </w:r>
      <w:r>
        <w:t xml:space="preserve">— dàn ý 5 chương</w:t>
      </w:r>
    </w:p>
    <w:p>
      <w:pPr>
        <w:numPr>
          <w:ilvl w:val="0"/>
          <w:numId w:val="1007"/>
        </w:numPr>
        <w:pStyle w:val="Compact"/>
      </w:pPr>
      <w:r>
        <w:rPr>
          <w:rStyle w:val="VerbatimChar"/>
        </w:rPr>
        <w:t xml:space="preserve">02_theoretical_framework_vi.md</w:t>
      </w:r>
      <w:r>
        <w:t xml:space="preserve"> </w:t>
      </w:r>
      <w:r>
        <w:t xml:space="preserve">— khung 4 tầng + digital lens + H1–H6</w:t>
      </w:r>
    </w:p>
    <w:p>
      <w:pPr>
        <w:numPr>
          <w:ilvl w:val="0"/>
          <w:numId w:val="1007"/>
        </w:numPr>
        <w:pStyle w:val="Compact"/>
      </w:pPr>
      <w:r>
        <w:rPr>
          <w:rStyle w:val="VerbatimChar"/>
        </w:rPr>
        <w:t xml:space="preserve">10_p8_pacific_sids_design_vi.md</w:t>
      </w:r>
      <w:r>
        <w:t xml:space="preserve"> </w:t>
      </w:r>
      <w:r>
        <w:t xml:space="preserve">— phân tích SIDS Thái Bình Dương boundary case</w:t>
      </w:r>
    </w:p>
    <w:p>
      <w:pPr>
        <w:numPr>
          <w:ilvl w:val="0"/>
          <w:numId w:val="1007"/>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2026-05-26T18:09:22Z</dcterms:created>
  <dcterms:modified xsi:type="dcterms:W3CDTF">2026-05-26T18:09:22Z</dcterms:modified>
</cp:coreProperties>
</file>

<file path=docProps/custom.xml><?xml version="1.0" encoding="utf-8"?>
<Properties xmlns="http://schemas.openxmlformats.org/officeDocument/2006/custom-properties" xmlns:vt="http://schemas.openxmlformats.org/officeDocument/2006/docPropsVTypes"/>
</file>