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2003–2025.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tích cực ở Emerging/Frontier (H3a)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91.982 doanh nghiệp ở 49 nền kinh tế châu Á và Thái Bình Dương, bao gồm 102 cặp quốc gia-năm qua 14 mốc khảo sát WBES giai đoạn 2003–2025.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2003–2025.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positive for Emerging/Frontier (H3a),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91, 982 firms across 49 Asian and Pacific economies, spanning 102 country-year pairs across 14 WBES survey waves (2003–2025).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Quan hệ quốc tế hóa,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84"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2003–2025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49 nền kinh tế tạo thành 102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91.982 doanh nghiệp WBES xuyên 49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 2% (2009), 39, 3% (2015), 41, 6% (2023), 39, 7% (tổng hợp); TCI nhân quả qua biến công cụ (β = 1, 639, F bậc một = 22, 1); DAI theo giai đoạn và phụ thuộc chọn lựa (IV null, β = 0, 018). P4 Singapore (Mar, Đỗ &amp; Phan, 2026, MIR under review) phân tích 623 doanh nghiệp WBES 2023, cho thấy điểm uốn hàm ý ở FSTS khoảng 88, 6% và DAI hoạt động như nguồn lực mở rộng tình huống với hệ số DAI×FSTS² = +3, 119 (p = 0, 005). P5 Trung Quốc (Đỗ &amp; Phan, 2026, IJOEM under review) phân tích 4.559 doanh nghiệp WBES hai sóng (2012, 2024) xác nhận chữ U ngược bền vững cấu trúc với điểm uốn 49, 4% (2012) và 47, 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91.982 doanh nghiệp xuyên 49 nền kinh tế giai đoạn 2003–2025.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phân theo sáu nhóm ICRV (5+5+6+7+17+7).</w:t>
      </w:r>
    </w:p>
    <w:p>
      <w:pPr>
        <w:pStyle w:val="BodyText"/>
      </w:pPr>
      <w:r>
        <w:t xml:space="preserve">Phạm vi thời gian: 2003–2025, bao trùm ba thế hệ schema WBES, tạo thành 102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49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79" w:name="kết-quả-và-thảo-luận"/>
    <w:p>
      <w:pPr>
        <w:pStyle w:val="Heading3"/>
      </w:pPr>
      <w:r>
        <w:t xml:space="preserve">2.3 Kết quả và thảo luận</w:t>
      </w:r>
    </w:p>
    <w:bookmarkStart w:id="37" w:name="Xe9d3ddc50a975426938b90e9f8f17c0f4735086"/>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 045 (không đáng kể), nhưng với biến động cao (SD = 0, 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 12, p &lt; 0, 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 04–0, 07) nhưng rất không đồng nhất (SD = 0, 15–0, 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91.982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 001 (tổng hợp). Điểm uốn: 46, 2% (2009), 39, 3% (2015), 41, 6% (2023), 39, 7% (tổng hợp). P3 phân tách H1 thành hai mệnh đề: bước nhảy từ không xuất khẩu sang xuất khẩu là biên năng suất chính; trong mẫu chỉ gồm doanh nghiệp xuất khẩu, đường cong gần phẳng. TCI (b8+e6) dương bền vững (β = 0, 179 tổng hợp, p &lt; 0, 001); biến công cụ cho TCI nhân quả (β = 1, 639, F bậc một = 22, 1). DAI phụ thuộc giai đoạn, dương năm 2009 (β = 0, 175), null năm 2015, có tương tác âm năm 2023 (FSTS_c×DAI_z = −0, 912, p = 0, 043); biến công cụ cho DAI null (β = 0, 018, p = 0, 942, F bậc một = 34, 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 6% (vùng thưa dữ liệu; kiểm định Lind–Mehlum p = 0, 303). DAI×FSTS² = +3, 119 (p = 0, 005), DAI là nguồn lực mở rộng tình huống, chỉ phát huy ở FSTS cao nơi nhu cầu điều phối xuyên biên giới dày đặc. TCI dương trực tiếp (β = 0, 153).</w:t>
      </w:r>
    </w:p>
    <w:p>
      <w:pPr>
        <w:pStyle w:val="BodyText"/>
      </w:pPr>
      <w:r>
        <w:t xml:space="preserve">P5 Trung Quốc (Đỗ &amp; Phan, 2026, IJOEM under review): Phân tích 4.559 doanh nghiệp WBES hai sóng (2012, 2024). Chữ U ngược bền vững cấu trúc, điểm uốn 49, 4% (2012), 47, 2% (2024), kiểm định Paternoster cho hệ số FSTS² không có sự khác biệt đáng kể (p = 0, 545). TCI tăng cường theo thời gian (+0, 260 → +0, 426, Paternoster p = 0, 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 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 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 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 001 (dịch chuyển)</w:t>
            </w:r>
          </w:p>
        </w:tc>
        <w:tc>
          <w:tcPr/>
          <w:p>
            <w:pPr>
              <w:pStyle w:val="Compact"/>
              <w:jc w:val="left"/>
            </w:pPr>
            <w:r>
              <w:t xml:space="preserve">Cắt ngang 2023</w:t>
            </w:r>
          </w:p>
        </w:tc>
        <w:tc>
          <w:tcPr/>
          <w:p>
            <w:pPr>
              <w:pStyle w:val="Compact"/>
              <w:jc w:val="left"/>
            </w:pPr>
            <w:r>
              <w:t xml:space="preserve">Paternoster p = 0, 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 179, nhân quả từ IV) và P5 Trung Quốc (TCI tăng cường +0, 260 → +0, 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 119, p = 0, 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 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 179 nhân quả (IV); P5: +0, 260 → +0, 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 119 (Nhóm I); P3: IV null (β = 0, 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 001; P5: TCI Paternoster p = 0, 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48"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5" w:name="X554d9a38aa5071c54dd41cf832555f814bf88a4"/>
    <w:p>
      <w:pPr>
        <w:pStyle w:val="Heading5"/>
      </w:pPr>
      <w:r>
        <w:t xml:space="preserve">Hình 2.1, Khung khái niệm tích hợp (tổng quan)</w:t>
      </w:r>
    </w:p>
    <w:tbl>
      <w:tblPr>
        <w:tblStyle w:val="FigureTable"/>
        <w:tblW w:type="auto" w:w="0"/>
        <w:tblLook w:firstRow="0" w:lastRow="0" w:firstColumn="0" w:lastColumn="0"/>
        <w:jc w:val="center"/>
      </w:tblPr>
      <w:tblGrid>
        <w:gridCol w:w="7920"/>
      </w:tblGrid>
      <w:tr>
        <w:tc>
          <w:tcPr/>
          <w:p>
            <w:pPr>
              <w:pStyle w:val="Compact"/>
              <w:jc w:val="center"/>
            </w:pPr>
            <w:r>
              <w:t xml:space="preserve">Hình 2.1: Khung khái niệm tích hợp CĐ2</w:t>
            </w:r>
          </w:p>
        </w:tc>
      </w:tr>
    </w:tbl>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91.982 doanh nghiệp.</w:t>
      </w:r>
    </w:p>
    <w:bookmarkEnd w:id="45"/>
    <w:bookmarkStart w:id="46" w:name="hình-2.2-cơ-chế-cdcm-chi-tiết"/>
    <w:p>
      <w:pPr>
        <w:pStyle w:val="Heading5"/>
      </w:pPr>
      <w:r>
        <w:t xml:space="preserve">Hình 2.2, Cơ chế CDCM chi tiết</w:t>
      </w:r>
    </w:p>
    <w:tbl>
      <w:tblPr>
        <w:tblStyle w:val="FigureTable"/>
        <w:tblW w:type="auto" w:w="0"/>
        <w:tblLook w:firstRow="0" w:lastRow="0" w:firstColumn="0" w:lastColumn="0"/>
        <w:jc w:val="center"/>
      </w:tblPr>
      <w:tblGrid>
        <w:gridCol w:w="7920"/>
      </w:tblGrid>
      <w:tr>
        <w:tc>
          <w:tcPr/>
          <w:p>
            <w:pPr>
              <w:pStyle w:val="Compact"/>
              <w:jc w:val="center"/>
            </w:pPr>
            <w:r>
              <w:t xml:space="preserve">Hình 2.2: Cơ chế CDCM theo ba nhóm ICRV</w:t>
            </w:r>
          </w:p>
        </w:tc>
      </w:tr>
    </w:tbl>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 119; P4). Nhóm IV (Việt Nam, Lower_mid_transition, bão hòa số thấp; Nhóm IV trong cả hệ 5 nhóm P6 lẫn hệ 6 nhóm CD2): DAI Tier-1 là ràng buộc đo lường; tác động dương theo OLS nhưng biến mất sau hiệu chỉnh nội sinh biến công cụ (β = 0, 018, p = 0, 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46"/>
    <w:bookmarkStart w:id="47"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47"/>
    <w:bookmarkEnd w:id="48"/>
    <w:bookmarkStart w:id="57" w:name="hệ-giả-thuyết-nghiên-cứu-h1h6"/>
    <w:p>
      <w:pPr>
        <w:pStyle w:val="Heading4"/>
      </w:pPr>
      <w:r>
        <w:t xml:space="preserve">2.3.4 Hệ giả thuyết nghiên cứu (H1–H6)</w:t>
      </w:r>
    </w:p>
    <w:bookmarkStart w:id="49"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49"/>
    <w:bookmarkStart w:id="50"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không có chữ U ngược điển hình.</w:t>
      </w:r>
    </w:p>
    <w:p>
      <w:pPr>
        <w:pStyle w:val="BodyText"/>
      </w:pPr>
      <w:r>
        <w:t xml:space="preserve">Bằng chứng neo đậu: P3 Việt Nam (Nhóm IV): Lind–Mehlum p &lt; 0, 001 (tổng hợp), điểm uốn 39–46%. P5 Trung Quốc (Nhóm III): Lind–Mehlum xác nhận hai sóng, điểm uốn 47–49%. P4 Singapore (Nhóm I): Lind–Mehlum p = 0, 303, chủ yếu dương, điểm uốn ~88, 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0"/>
    <w:bookmarkStart w:id="51"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 179 (p &lt; 0, 001) bền vững 3 sóng; biến công cụ cho β(TCI) = 1, 639 (p &lt; 0, 001, F bậc một = 22, 1), TCI là nhân quả. P5 Trung Quốc: β_z(TCI) tăng từ +0, 260 (2012) → +0, 426 (2024), Paternoster z = −2, 55 (p = 0, 011), TCI nâng mặt bằng tăng cường theo thời gian. P4 Singapore: β(TCI) = +0, 153 (p &lt; 0, 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1"/>
    <w:bookmarkStart w:id="52"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 119 (p = 0, 005), DAI mở rộng tình huống có điều kiện. P3 Việt Nam: biến công cụ null β = 0, 018 (p = 0, 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 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 095–0, 175)</w:t>
            </w:r>
          </w:p>
        </w:tc>
        <w:tc>
          <w:tcPr/>
          <w:p>
            <w:pPr>
              <w:pStyle w:val="Compact"/>
              <w:jc w:val="left"/>
            </w:pPr>
            <w:r>
              <w:t xml:space="preserve">Null (β = 0, 018; F bậc một = 34, 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 → ln(LP): β(FSTS×DAI) &gt; 0 và/hoặc β(FSTS²×DAI) &gt; 0. Cơ chế: DAI giảm khoảng cách tâm lý, mở rộng tiếp cận thị trường ảo, và tăng năng lực điều phối ở những bối cảnh mà website presence vẫn là tín hiệu phân biệt (chưa bão hòa).</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 119, p = 0, 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2"/>
    <w:bookmarkStart w:id="53"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3"/>
    <w:bookmarkStart w:id="54"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 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54"/>
    <w:bookmarkStart w:id="55"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 353 giữa 2009 và 2015 (p &lt; 0, 001), quan hệ I→P dịch chuyển đáng kể. P5 Trung Quốc: TCI Paternoster p = 0, 011, hiệu ứng TCI tăng cường 2012→2024. P5 Trung Quốc: FSTS Paternoster p = 0, 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5"/>
    <w:bookmarkStart w:id="56"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 260 → +0, 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 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 001; P5 TCI p = 0, 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56"/>
    <w:bookmarkEnd w:id="57"/>
    <w:bookmarkStart w:id="68" w:name="thiết-kế-mô-hình-thực-nghiệm-m0m7"/>
    <w:p>
      <w:pPr>
        <w:pStyle w:val="Heading4"/>
      </w:pPr>
      <w:r>
        <w:t xml:space="preserve">2.3.5 Thiết kế mô hình thực nghiệm (M0–M7)</w:t>
      </w:r>
    </w:p>
    <w:bookmarkStart w:id="58"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 01 để thêm biến điều tiết; ΔAIC &lt; −2 ủng hộ mô hình phức tạp hơn; ΔBIC &lt; −10 là bằng chứng mạnh; F-test p &lt; 0, 05 để thêm khối biến. M7 được báo cáo nếu ΔAIC(M7 vs M4+M3 kết hợp) &lt; −2 VÀ F-test p &lt; 0, 05.</w:t>
      </w:r>
    </w:p>
    <w:bookmarkEnd w:id="58"/>
    <w:bookmarkStart w:id="59"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59"/>
    <w:bookmarkStart w:id="60"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0"/>
    <w:bookmarkStart w:id="61"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1"/>
    <w:bookmarkStart w:id="62"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 10 → TCI là nâng mặt bằng thuần túy.</w:t>
      </w:r>
    </w:p>
    <w:bookmarkEnd w:id="62"/>
    <w:bookmarkStart w:id="63"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 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3"/>
    <w:bookmarkStart w:id="64"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4"/>
    <w:bookmarkStart w:id="65"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thay bằng Year FE + Region FE (6 vùng).</w:t>
      </w:r>
    </w:p>
    <w:bookmarkEnd w:id="65"/>
    <w:bookmarkStart w:id="66"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 80 tại f² = 0, 02, dễ dàng đáp ứng với pool 91.982.</w:t>
      </w:r>
    </w:p>
    <w:bookmarkEnd w:id="66"/>
    <w:bookmarkStart w:id="67"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7"/>
    <w:bookmarkEnd w:id="68"/>
    <w:bookmarkStart w:id="73" w:name="dữ-liệu-và-chiến-lược-nhận-dạng-nhân-quả"/>
    <w:p>
      <w:pPr>
        <w:pStyle w:val="Heading4"/>
      </w:pPr>
      <w:r>
        <w:t xml:space="preserve">2.3.6 Dữ liệu và chiến lược nhận dạng nhân quả</w:t>
      </w:r>
    </w:p>
    <w:bookmarkStart w:id="69"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91.982 doanh nghiệp chính thức; 49 nền kinh tế châu Á và Thái Bình Dương; 102 cặp quốc gia-năm; 14 mốc khảo sát từ 2003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w:t>
            </w:r>
          </w:p>
        </w:tc>
        <w:tc>
          <w:tcPr/>
          <w:p>
            <w:pPr>
              <w:pStyle w:val="Compact"/>
              <w:jc w:val="left"/>
            </w:pPr>
            <w:r>
              <w:t xml:space="preserve">Fiji, Kiribati, Papua New Guinea, Samoa, Solomon Islands, Timor-Leste, Tonga, Vanuatu, Comoros</w:t>
            </w:r>
          </w:p>
        </w:tc>
        <w:tc>
          <w:tcPr/>
          <w:p>
            <w:pPr>
              <w:pStyle w:val="Compact"/>
              <w:jc w:val="left"/>
            </w:pPr>
            <w:r>
              <w:t xml:space="preserve">9</w:t>
            </w:r>
          </w:p>
        </w:tc>
        <w:tc>
          <w:tcPr/>
          <w:p>
            <w:pPr>
              <w:pStyle w:val="Compact"/>
              <w:jc w:val="left"/>
            </w:pPr>
            <w:r>
              <w:t xml:space="preserve">~2.038</w:t>
            </w:r>
          </w:p>
        </w:tc>
        <w:tc>
          <w:tcPr/>
          <w:p>
            <w:pPr>
              <w:pStyle w:val="Compact"/>
              <w:jc w:val="left"/>
            </w:pPr>
            <w:r>
              <w:t xml:space="preserve">~11</w:t>
            </w:r>
          </w:p>
        </w:tc>
      </w:tr>
      <w:tr>
        <w:tc>
          <w:tcPr/>
          <w:p>
            <w:pPr>
              <w:pStyle w:val="Compact"/>
              <w:jc w:val="left"/>
            </w:pPr>
            <w:r>
              <w:t xml:space="preserve">Tổng</w:t>
            </w:r>
          </w:p>
        </w:tc>
        <w:tc>
          <w:tcPr/>
          <w:p>
            <w:pPr>
              <w:pStyle w:val="Compact"/>
            </w:pPr>
          </w:p>
        </w:tc>
        <w:tc>
          <w:tcPr/>
          <w:p>
            <w:pPr>
              <w:pStyle w:val="Compact"/>
              <w:jc w:val="left"/>
            </w:pPr>
            <w:r>
              <w:t xml:space="preserve">49</w:t>
            </w:r>
          </w:p>
        </w:tc>
        <w:tc>
          <w:tcPr/>
          <w:p>
            <w:pPr>
              <w:pStyle w:val="Compact"/>
              <w:jc w:val="left"/>
            </w:pPr>
            <w:r>
              <w:t xml:space="preserve">~91.982</w:t>
            </w:r>
          </w:p>
        </w:tc>
        <w:tc>
          <w:tcPr/>
          <w:p>
            <w:pPr>
              <w:pStyle w:val="Compact"/>
              <w:jc w:val="left"/>
            </w:pPr>
            <w:r>
              <w:t xml:space="preserve">102</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69"/>
    <w:bookmarkStart w:id="70"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 55–0, 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0"/>
    <w:bookmarkStart w:id="71" w:name="phân-loại-icrv-6-nhóm"/>
    <w:p>
      <w:pPr>
        <w:pStyle w:val="Heading5"/>
      </w:pPr>
      <w:r>
        <w:t xml:space="preserve">Phân loại ICRV 6 nhóm</w:t>
      </w:r>
    </w:p>
    <w:p>
      <w:pPr>
        <w:pStyle w:val="FirstParagraph"/>
      </w:pPr>
      <w:r>
        <w:t xml:space="preserve">Bảng 2.11. Phân loại 49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49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2003–2025 (ngưỡng kiểm tra: chuyển nhóm nếu GNI/người vượt ngưỡng ±15% trong ≥3 năm liên tiếp, không có trường hợp nào).</w:t>
      </w:r>
    </w:p>
    <w:bookmarkEnd w:id="71"/>
    <w:bookmarkStart w:id="72"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 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 4) vẽ ln(LP) ~ FSTS, nếu hình dạng visual nhất quán với chữ U ngược → bằng chứng xác nhận không phụ thuộc giả định phân phối.</w:t>
      </w:r>
    </w:p>
    <w:p>
      <w:pPr>
        <w:pStyle w:val="BodyText"/>
      </w:pPr>
      <w:r>
        <w:t xml:space="preserve">Tầng 4, Nhân rộng mẫu con: Pool đủ lớn (91.982) cho phép chạy M0–M7 riêng cho từng nhóm ICRV (Nhóm I: ~6.500; Nhóm IV: ~28.000) để kiểm định tính không đồng nhất.</w:t>
      </w:r>
    </w:p>
    <w:bookmarkEnd w:id="72"/>
    <w:bookmarkEnd w:id="73"/>
    <w:bookmarkStart w:id="74"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 1; 3, 0]; β₂(FSTS²) trong khoảng [−2, 5; −0, 1]; điểm uốn trong khoảng [20%; 90%]; β(TCI) trong khoảng [0, 05; 0, 5]; β(FSTS²×DAI) Nhóm I trong khoảng [0, 5; 6, 0].</w:t>
      </w:r>
    </w:p>
    <w:p>
      <w:pPr>
        <w:pStyle w:val="BodyText"/>
      </w:pPr>
      <w:r>
        <w:t xml:space="preserve">Quy trình báo cáo: nếu ≥4/6 nhóm R1–R6 cho kết quả nhất quán với chuẩn (dấu đúng, p &lt; 0, 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74"/>
    <w:bookmarkStart w:id="78" w:name="Xa7a3e024942ac139f282b38617464477c22cff4"/>
    <w:p>
      <w:pPr>
        <w:pStyle w:val="Heading4"/>
      </w:pPr>
      <w:r>
        <w:t xml:space="preserve">2.3.8 Thảo luận: đóng góp lý thuyết và thực tiễn</w:t>
      </w:r>
    </w:p>
    <w:bookmarkStart w:id="75"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49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văn liệu I→P từ châu Á lục địa sang các quốc đảo nhỏ Thái Bình Dương.</w:t>
      </w:r>
    </w:p>
    <w:bookmarkEnd w:id="75"/>
    <w:bookmarkStart w:id="76"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91.982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76"/>
    <w:bookmarkStart w:id="77"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 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77"/>
    <w:bookmarkEnd w:id="78"/>
    <w:bookmarkEnd w:id="79"/>
    <w:bookmarkStart w:id="83" w:name="kết-luận-và-đề-xuất"/>
    <w:p>
      <w:pPr>
        <w:pStyle w:val="Heading3"/>
      </w:pPr>
      <w:r>
        <w:t xml:space="preserve">2.4 Kết luận và đề xuất</w:t>
      </w:r>
    </w:p>
    <w:bookmarkStart w:id="80"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91.982 doanh nghiệp WBES xuyên 49 nền kinh tế và 102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0"/>
    <w:bookmarkStart w:id="81"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1"/>
    <w:bookmarkStart w:id="82"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mức độ số hóa cấp quốc gia khuếch đại lợi ích quốc tế hóa; (ii) ICRV 6 nhóm cho châu Á-Thái Bình Dương thay vì phân loại toàn cầu thô trong Marano et al. (2016); (iii) DPL phase,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P7: Kiểm định H1–H6 toàn pool 49 nền kinh tế (JIBS, under revision):</w:t>
      </w:r>
      <w:r>
        <w:t xml:space="preserve"> </w:t>
      </w:r>
      <w:r>
        <w:t xml:space="preserve">P7 đã hoàn thành, N=84, 910–91, 982 doanh nghiệp, 49 nền kinh tế châu Á và Thái Bình Dương, 102 country-year waves, 6 nhóm ICRV. Kết quả xác nhận: H1 (phi tuyến) TP≈36%; H2 TCI level effect β≈+0.344 (p&lt;.05); H3 DAI universal level effect β=+0.155 (p&lt;.001) + cả hai curvature interactions; H5 ICRV gradient,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gánh nặng tắt buộc (World Development, under revision):</w:t>
      </w:r>
      <w:r>
        <w:t xml:space="preserve"> </w:t>
      </w:r>
      <w:r>
        <w:t xml:space="preserve">P8 đã hoàn thành, N=1.469 doanh nghiệp, 9 nước SIDS (Nhóm VI ICRV: Fiji, Kiribati, PNG, Samoa, Solomon Islands, Tonga, Vanuatu + Comoros + Timor-Leste), β(FSTS_c)=−0, 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2"/>
    <w:bookmarkEnd w:id="83"/>
    <w:bookmarkEnd w:id="84"/>
    <w:bookmarkStart w:id="85"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85"/>
    <w:bookmarkStart w:id="90" w:name="phụ-lục"/>
    <w:p>
      <w:pPr>
        <w:pStyle w:val="Heading2"/>
      </w:pPr>
      <w:r>
        <w:t xml:space="preserve">PHỤ LỤC</w:t>
      </w:r>
    </w:p>
    <w:bookmarkStart w:id="86" w:name="X01944e567194a9fadb7bca1b5869d9662127c94"/>
    <w:p>
      <w:pPr>
        <w:pStyle w:val="Heading3"/>
      </w:pPr>
      <w:r>
        <w:t xml:space="preserve">Phụ lục A, Danh sách 49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49 nền kinh tế.</w:t>
      </w:r>
    </w:p>
    <w:bookmarkEnd w:id="86"/>
    <w:bookmarkStart w:id="87"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 001 tổng hợp); điểm uốn 46, 2% (2009), 39, 3% (2015), 41, 6% (2023), 39, 7% (tổng hợp); TCI nhân quả (β = 1, 639, F bậc một = 22, 1); DAI phụ thuộc chọn lựa (β_IV = 0, 018, F bậc một = 34, 6); Paternoster z = 3, 353 giữa điểm uốn 2009 và 2015 (p &lt; 0, 001).</w:t>
      </w:r>
    </w:p>
    <w:p>
      <w:pPr>
        <w:pStyle w:val="BodyText"/>
      </w:pPr>
      <w:r>
        <w:t xml:space="preserve">P4, Singapore (MIR, under review): Mar, K. S., Đỗ, T. H., &amp; Phan, A. T. (2026). Phân tích 623 doanh nghiệp WBES 2023. Kết quả chính: đường cong I→P chủ yếu dương; điểm uốn hàm ý ~88, 6% (vùng thưa dữ liệu; Lind–Mehlum p = 0, 303); DAI×FSTS² = +3, 119 (p = 0, 005), DAI là nguồn lực mở rộng tình huống; TCI β = 0, 153.</w:t>
      </w:r>
    </w:p>
    <w:p>
      <w:pPr>
        <w:pStyle w:val="BodyText"/>
      </w:pPr>
      <w:r>
        <w:t xml:space="preserve">P5, Trung Quốc (IJOEM, under review): Đỗ, T. H., &amp; Phan, A. T. (2026). Phân tích 4.559 doanh nghiệp WBES hai sóng 2012/2024. Kết quả chính: chữ U ngược bền vững cấu trúc, điểm uốn 49, 4% (2012), 47, 2% (2024), Paternoster FSTS² p = 0, 545 (không có sự khác biệt đáng kể); TCI tăng cường theo thời gian (+0, 260 → +0, 426, Paternoster p = 0, 011).</w:t>
      </w:r>
    </w:p>
    <w:bookmarkEnd w:id="87"/>
    <w:bookmarkStart w:id="88"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 001; ** p &lt; 0, 01; * p &lt; 0, 05; † p &lt; 0, 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88"/>
    <w:bookmarkStart w:id="89"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89"/>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2026-06-10T16:34:29Z</dcterms:created>
  <dcterms:modified xsi:type="dcterms:W3CDTF">2026-06-10T16:34:29Z</dcterms:modified>
</cp:coreProperties>
</file>

<file path=docProps/custom.xml><?xml version="1.0" encoding="utf-8"?>
<Properties xmlns="http://schemas.openxmlformats.org/officeDocument/2006/custom-properties" xmlns:vt="http://schemas.openxmlformats.org/officeDocument/2006/docPropsVTypes"/>
</file>