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chương-5-kết-luận-và-đề-xuất"/>
    <w:p>
      <w:pPr>
        <w:pStyle w:val="Heading1"/>
      </w:pPr>
      <w:r>
        <w:t xml:space="preserve">CHƯƠNG 5: KẾT LUẬN VÀ ĐỀ XUẤT</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0"/>
    <w:bookmarkStart w:id="26" w:name="Xa49aadb40c127a83ebe1d91ac222e3bdb8617c2"/>
    <w:p>
      <w:pPr>
        <w:pStyle w:val="Heading2"/>
      </w:pPr>
      <w:r>
        <w:t xml:space="preserve">5.1 Bàn luận kết quả theo khung lý thuyết CDCM</w:t>
      </w:r>
    </w:p>
    <w:bookmarkStart w:id="21"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127</m:t>
        </m:r>
        <m:r>
          <m:rPr>
            <m:sty m:val="p"/>
          </m:rPr>
          <m:t>,</m:t>
        </m:r>
        <m:r>
          <m:t>77</m:t>
        </m:r>
      </m:oMath>
      <w:r>
        <w:t xml:space="preserve">,</w:t>
      </w:r>
      <w:r>
        <w:t xml:space="preserve"> </w:t>
      </w:r>
      <m:oMath>
        <m:r>
          <m:t>p</m:t>
        </m:r>
        <m:r>
          <m:rPr>
            <m:sty m:val="p"/>
          </m:rPr>
          <m:t>&lt;</m:t>
        </m:r>
        <m:r>
          <m:rPr>
            <m:sty m:val="p"/>
          </m:rPr>
          <m:t>,</m:t>
        </m:r>
        <m:r>
          <m:t>001</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 đều chỉ đến cùng một kết luận: điểm uốn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Hay nói cách khác, nền kinh tế thể chế mạnh hơn đạt đỉnh hiệu quả xuất khẩu tại mức FSTS thấp hơn —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47 nền kinh tế châu Á và Thái Bình Dương.</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1"/>
    <w:bookmarkStart w:id="22"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22"/>
    <w:bookmarkStart w:id="23"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 "dynamic digital capability" 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 "institutional voids" (Khanna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 — "digital shield effect" phát huy mạnh nhất khi nền tảng thể chế còn thiếu hụt, không phải khi thể chế đã hoàn thiện.</w:t>
      </w:r>
    </w:p>
    <w:bookmarkEnd w:id="23"/>
    <w:bookmarkStart w:id="24" w:name="Xa50feea436358d6c79850f8e0ee4f310f84827b"/>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24"/>
    <w:bookmarkStart w:id="25" w:name="X965f3e2835fec9004e9a3f92ee374aa0d8e2a7a"/>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5"/>
    <w:bookmarkEnd w:id="26"/>
    <w:bookmarkStart w:id="30" w:name="X03371f9bf2ea7aa70b56c3fc263517b182b20aa"/>
    <w:p>
      <w:pPr>
        <w:pStyle w:val="Heading2"/>
      </w:pPr>
      <w:r>
        <w:t xml:space="preserve">5.2 So sánh với nghiên cứu trước đây</w:t>
      </w:r>
    </w:p>
    <w:bookmarkStart w:id="27"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075</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(Đỗ &amp; Phan, 2024). Sự hội tụ này là đáng kể vì P6 mở rộng pool lên</w:t>
      </w:r>
      <w:r>
        <w:t xml:space="preserve"> </w:t>
      </w:r>
      <m:oMath>
        <m:r>
          <m:t>k</m:t>
        </m:r>
        <m:r>
          <m:rPr>
            <m:sty m:val="p"/>
          </m:rPr>
          <m:t>=</m:t>
        </m:r>
        <m:r>
          <m:t>235</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5</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27"/>
    <w:bookmarkStart w:id="28"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 Advanced Innovation)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 nền kinh tế châu Á và Thái Bình Dương — bối cảnh underrepresented trong literature Lu và Beamish.</w:t>
      </w:r>
    </w:p>
    <w:bookmarkEnd w:id="28"/>
    <w:bookmarkStart w:id="29"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29"/>
    <w:bookmarkEnd w:id="30"/>
    <w:bookmarkStart w:id="34" w:name="X358b70cb0587073926db05a46d0ec729e84bb90"/>
    <w:p>
      <w:pPr>
        <w:pStyle w:val="Heading2"/>
      </w:pPr>
      <w:r>
        <w:t xml:space="preserve">5.3 Đóng góp lý thuyết</w:t>
      </w:r>
    </w:p>
    <w:bookmarkStart w:id="31" w:name="Xc6feaeb12e2f91980ada0175fe76f51b8cabb3c"/>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(Frontier, SIDS)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1"/>
    <w:bookmarkStart w:id="32"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32"/>
    <w:bookmarkStart w:id="33"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33"/>
    <w:bookmarkEnd w:id="34"/>
    <w:bookmarkStart w:id="38" w:name="X4f070f4201e8508645625eda6493d60cd486f27"/>
    <w:p>
      <w:pPr>
        <w:pStyle w:val="Heading2"/>
      </w:pPr>
      <w:r>
        <w:t xml:space="preserve">5.4 Đề xuất chính sách và quản trị</w:t>
      </w:r>
    </w:p>
    <w:bookmarkStart w:id="35" w:name="X7cdaf271f3298cb573246cb59bc34e92c91d24d"/>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5"/>
    <w:bookmarkStart w:id="36" w:name="Xbb0ebb3f10e960b7d926ccd5aa748ccdb7740d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turning point TP ≈ 88,6%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6"/>
    <w:bookmarkStart w:id="37" w:name="X383f9bda7308bcecdf3fd26297745377ea89ee1"/>
    <w:p>
      <w:pPr>
        <w:pStyle w:val="Heading3"/>
      </w:pPr>
      <w:r>
        <w:t xml:space="preserve">5.4.3 Đề xuất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p>
      <w:r>
        <w:pict>
          <v:rect style="width:0;height:1.5pt" o:hralign="center" o:hrstd="t" o:hr="t"/>
        </w:pict>
      </w:r>
    </w:p>
    <w:bookmarkEnd w:id="37"/>
    <w:bookmarkEnd w:id="38"/>
    <w:bookmarkStart w:id="43" w:name="Xf80a1234b44a7d4089382a2631c25010c604edb"/>
    <w:p>
      <w:pPr>
        <w:pStyle w:val="Heading2"/>
      </w:pPr>
      <w:r>
        <w:t xml:space="preserve">5.5 Hạn chế và hướng nghiên cứu tương lai</w:t>
      </w:r>
    </w:p>
    <w:bookmarkStart w:id="39"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39"/>
    <w:bookmarkStart w:id="40"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0"/>
    <w:bookmarkStart w:id="41"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1"/>
    <w:bookmarkStart w:id="42"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42"/>
    <w:bookmarkEnd w:id="43"/>
    <w:bookmarkStart w:id="48" w:name="X3298e6974611109580cc451c12e8b21e51ab986"/>
    <w:p>
      <w:pPr>
        <w:pStyle w:val="Heading2"/>
      </w:pPr>
      <w:r>
        <w:t xml:space="preserve">5.6 Kết luận</w:t>
      </w:r>
    </w:p>
    <w:bookmarkStart w:id="44" w:name="X908ec0d26c8b6e22d0478e29897c5c86bef9e95"/>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 ICBEF 2024, Đỗ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w:t>
      </w:r>
      <w:r>
        <w:t xml:space="preserve">(bản thảo đang chuẩn bị, Đỗ &amp; Phan, 2026): phân tích Việt Nam (Lower-mid Transition), xác nhận inverted-U với TP = 39,3–46,2%, TCI là moderator dương có ý nghĩa.</w:t>
      </w:r>
    </w:p>
    <w:p>
      <w:pPr>
        <w:numPr>
          <w:ilvl w:val="0"/>
          <w:numId w:val="1002"/>
        </w:numPr>
      </w:pPr>
      <w:r>
        <w:rPr>
          <w:bCs/>
          <w:b/>
        </w:rPr>
        <w:t xml:space="preserve">P4</w:t>
      </w:r>
      <w:r>
        <w:t xml:space="preserve"> </w:t>
      </w:r>
      <w:r>
        <w:t xml:space="preserve">(bản thảo đang chuẩn bị, Đỗ &amp; Phan, 2026): phân tích Singapore (Advanced Innovation), xác nhận inverted-U với TP ≈ 88,6% (rộng CI), DAI khuếch đại tại mức FSTS cao.</w:t>
      </w:r>
    </w:p>
    <w:p>
      <w:pPr>
        <w:numPr>
          <w:ilvl w:val="0"/>
          <w:numId w:val="1002"/>
        </w:numPr>
      </w:pPr>
      <w:r>
        <w:rPr>
          <w:bCs/>
          <w:b/>
        </w:rPr>
        <w:t xml:space="preserve">P5</w:t>
      </w:r>
      <w:r>
        <w:t xml:space="preserve"> </w:t>
      </w:r>
      <w:r>
        <w:t xml:space="preserve">(bản thảo đang chuẩn bị, Đỗ &amp; Phan, 2026):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(bản thảo đang chuẩn bị, Đỗ &amp; Phan, 2026): meta-analysis ba tầng mở rộng</w:t>
      </w:r>
      <w:r>
        <w:t xml:space="preserve"> </w:t>
      </w:r>
      <m:oMath>
        <m:r>
          <m:t>k</m:t>
        </m:r>
        <m:r>
          <m:rPr>
            <m:sty m:val="p"/>
          </m:rPr>
          <m:t>=</m:t>
        </m:r>
        <m:r>
          <m:t>235</m:t>
        </m:r>
      </m:oMath>
      <w:r>
        <w:t xml:space="preserve">,</w:t>
      </w:r>
      <w:r>
        <w:t xml:space="preserve"> </w:t>
      </w:r>
      <m:oMath>
        <m:r>
          <m:t>r</m:t>
        </m:r>
        <m:r>
          <m:rPr>
            <m:sty m:val="p"/>
          </m:rPr>
          <m:t>=</m:t>
        </m:r>
        <m:r>
          <m:t>0</m:t>
        </m:r>
        <m:r>
          <m:rPr>
            <m:sty m:val="p"/>
          </m:rPr>
          <m:t>,</m:t>
        </m:r>
        <m:r>
          <m:t>075</m:t>
        </m:r>
      </m:oMath>
      <w:r>
        <w:t xml:space="preserve">,</w:t>
      </w:r>
      <w:r>
        <w:t xml:space="preserve"> </w:t>
      </w:r>
      <m:oMath>
        <m:sSup>
          <m:e>
            <m:r>
              <m:t>I</m:t>
            </m:r>
          </m:e>
          <m:sup>
            <m:r>
              <m:t>2</m:t>
            </m:r>
          </m:sup>
        </m:sSup>
        <m:r>
          <m:rPr>
            <m:sty m:val="p"/>
          </m:rPr>
          <m:t>=</m:t>
        </m:r>
        <m:r>
          <m:t>62</m:t>
        </m:r>
        <m:r>
          <m:rPr>
            <m:sty m:val="p"/>
          </m:rPr>
          <m:t>,</m:t>
        </m:r>
        <m:r>
          <m:t>5</m:t>
        </m:r>
        <m:r>
          <m:rPr>
            <m:sty m:val="p"/>
          </m:rPr>
          <m:t>%</m:t>
        </m:r>
      </m:oMath>
      <w:r>
        <w:t xml:space="preserve"> </w:t>
      </w:r>
      <w:r>
        <w:t xml:space="preserve">(54,1% tầng 2 + 8,4% tầng 3), ICRV moderation</w:t>
      </w:r>
      <w:r>
        <w:t xml:space="preserve"> </w:t>
      </w:r>
      <m:oMath>
        <m:sSub>
          <m:e>
            <m:r>
              <m:t>Q</m:t>
            </m:r>
          </m:e>
          <m:sub>
            <m:r>
              <m:t>M</m:t>
            </m:r>
          </m:sub>
        </m:sSub>
        <m:r>
          <m:rPr>
            <m:sty m:val="p"/>
          </m:rPr>
          <m:t>=</m:t>
        </m:r>
        <m:r>
          <m:t>127</m:t>
        </m:r>
        <m:r>
          <m:rPr>
            <m:sty m:val="p"/>
          </m:rPr>
          <m:t>,</m:t>
        </m:r>
        <m:sSup>
          <m:e>
            <m:r>
              <m:t>77</m:t>
            </m:r>
          </m:e>
          <m:sup>
            <m:r>
              <m:rPr>
                <m:sty m:val="p"/>
              </m:rPr>
              <m:t>*</m:t>
            </m:r>
            <m:r>
              <m:rPr>
                <m:sty m:val="p"/>
              </m:rPr>
              <m:t>*</m:t>
            </m:r>
            <m:r>
              <m:rPr>
                <m:sty m:val="p"/>
              </m:rPr>
              <m:t>*</m:t>
            </m:r>
          </m:sup>
        </m:sSup>
      </m:oMath>
      <w:r>
        <w:t xml:space="preserve">.</w:t>
      </w:r>
    </w:p>
    <w:p>
      <w:pPr>
        <w:numPr>
          <w:ilvl w:val="0"/>
          <w:numId w:val="1002"/>
        </w:numPr>
      </w:pPr>
      <w:r>
        <w:rPr>
          <w:bCs/>
          <w:b/>
        </w:rPr>
        <w:t xml:space="preserve">P7</w:t>
      </w:r>
      <w:r>
        <w:t xml:space="preserve"> </w:t>
      </w:r>
      <w:r>
        <w:t xml:space="preserve">(bản thảo đang chuẩn bị, Đỗ &amp; Phan, 2026):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w:t>
      </w:r>
      <w:r>
        <w:t xml:space="preserve">(bản thảo đang chuẩn bị, Đỗ &amp; Phan, 2026):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44"/>
    <w:bookmarkStart w:id="45"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p>
    <w:p>
      <w:pPr>
        <w:pStyle w:val="FirstParagraph"/>
      </w:pPr>
      <w:r>
        <w:t xml:space="preserve">Bằng chứng từ 235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 thể chế càng mạnh, turning point càng sớm (FSTS thấp hơn).</w:t>
      </w:r>
    </w:p>
    <w:bookmarkEnd w:id="45"/>
    <w:bookmarkStart w:id="46"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46"/>
    <w:bookmarkStart w:id="47"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47"/>
    <w:bookmarkEnd w:id="48"/>
    <w:bookmarkEnd w:id="4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2026-05-15T15:42:38Z</dcterms:created>
  <dcterms:modified xsi:type="dcterms:W3CDTF">2026-05-15T15:42:38Z</dcterms:modified>
</cp:coreProperties>
</file>

<file path=docProps/custom.xml><?xml version="1.0" encoding="utf-8"?>
<Properties xmlns="http://schemas.openxmlformats.org/officeDocument/2006/custom-properties" xmlns:vt="http://schemas.openxmlformats.org/officeDocument/2006/docPropsVTypes"/>
</file>