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negatively associated with labor productivity (β = −1.339, p &lt; .001 in the country-and-year fixed-effects specification; β = −3.351, p &lt; .001 without country fixed effects; estimation N = 209 complete cases, from the full analysis sample of N = 959), with no significant quadratic curvature. We are explicit, however, that this estimate rests on the three SIDS economies with complete pre-2018 control data and is sensitive to the data version and to the small number of island economies with complete firm-level data (see Limitations); the result is therefore best read as exploratory evidence for a theoretical boundary condition rather than a robustly estimated effect.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549"/>
        <w:gridCol w:w="452"/>
        <w:gridCol w:w="3297"/>
        <w:gridCol w:w="362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not just the magnitude,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p>
      <w:pPr>
        <w:pStyle w:val="BodyText"/>
      </w:pPr>
      <w:r>
        <w:t xml:space="preserve">Fifth, and most importantly,</w:t>
      </w:r>
      <w:r>
        <w:t xml:space="preserve"> </w:t>
      </w:r>
      <w:r>
        <w:rPr>
          <w:bCs/>
          <w:b/>
        </w:rPr>
        <w:t xml:space="preserve">the estimate is data-version-sensitive and rests on few economies</w:t>
      </w:r>
      <w:r>
        <w:t xml:space="preserve">: the headline M1 sample (N = 209) is composed of the three Pacific economies with complete pre-2018 control data (Fiji 2009, Papua New Guinea 2015, Vanuatu 2009). On an expanded build of the harmonised SIDS frame that more fully ingests additional island economies and recent waves, the FSTS coefficient becomes non-significant and sign-unstable. With only three to nine island economies (clusters), conventional cluster-robust inference is also unreliable. We therefore present FIP primarily as a</w:t>
      </w:r>
      <w:r>
        <w:t xml:space="preserve"> </w:t>
      </w:r>
      <w:r>
        <w:rPr>
          <w:bCs/>
          <w:b/>
        </w:rPr>
        <w:t xml:space="preserve">theoretical boundary-condition construct supported by exploratory evidence</w:t>
      </w:r>
      <w:r>
        <w:t xml:space="preserve">, and a definitive test awaits more complete firm-level data across a larger number of island economies. We report this sensitivity transparently rather than presenting the penalty as a settled empirical regularity.</w: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support for FIP across multiple specifications on the available data (β = −1.339, p &lt; .001 in the primary country-and-year fixed-effects model, estimated on the N = 209 complete-case subsample; β = −3.351, p &lt; .001 without country fixed effects; β = −0.864, p = .050 in the full-sample bivariate model; β = −1.176, p = .130 in the exporters-only subsample), while noting explicitly that this estimate rests on three economies and is data-version-sensitive (Section 5.5). The quadratic term is not significant, consistent with a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Xd18a7fdbbe8955432f108664659551dd8892246"/>
    <w:p>
      <w:pPr>
        <w:pStyle w:val="Heading3"/>
      </w:pPr>
      <w:r>
        <w:t xml:space="preserve">Table 1. Country-Level Summary Statistics</w:t>
      </w:r>
    </w:p>
    <w:tbl>
      <w:tblPr>
        <w:tblStyle w:val="Table"/>
        <w:tblW w:type="pct" w:w="5000"/>
        <w:tblLook w:firstRow="1" w:lastRow="0" w:firstColumn="0" w:lastColumn="0" w:noHBand="0" w:noVBand="0" w:val="0020"/>
        <w:jc w:val="start"/>
      </w:tblPr>
      <w:tblGrid>
        <w:gridCol w:w="1926"/>
        <w:gridCol w:w="1177"/>
        <w:gridCol w:w="1177"/>
        <w:gridCol w:w="1284"/>
        <w:gridCol w:w="1177"/>
        <w:gridCol w:w="1177"/>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020"/>
        <w:gridCol w:w="1080"/>
        <w:gridCol w:w="1080"/>
        <w:gridCol w:w="1020"/>
        <w:gridCol w:w="1080"/>
        <w:gridCol w:w="1320"/>
        <w:gridCol w:w="1320"/>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0663e092ac382c03e02f48bedf26a30118613e9"/>
    <w:p>
      <w:pPr>
        <w:pStyle w:val="Heading3"/>
      </w:pPr>
      <w:r>
        <w:t xml:space="preserve">Table 3. Robustness: Exporters-Only Subsample (N = 132)</w:t>
      </w:r>
    </w:p>
    <w:tbl>
      <w:tblPr>
        <w:tblStyle w:val="Table"/>
        <w:tblW w:type="pct" w:w="5000"/>
        <w:tblLook w:firstRow="1" w:lastRow="0" w:firstColumn="0" w:lastColumn="0" w:noHBand="0" w:noVBand="0" w:val="0020"/>
        <w:jc w:val="start"/>
      </w:tblPr>
      <w:tblGrid>
        <w:gridCol w:w="3190"/>
        <w:gridCol w:w="1210"/>
        <w:gridCol w:w="770"/>
        <w:gridCol w:w="1540"/>
        <w:gridCol w:w="1210"/>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2026-06-19T07:56:01Z</dcterms:created>
  <dcterms:modified xsi:type="dcterms:W3CDTF">2026-06-19T07:56:01Z</dcterms:modified>
</cp:coreProperties>
</file>

<file path=docProps/custom.xml><?xml version="1.0" encoding="utf-8"?>
<Properties xmlns="http://schemas.openxmlformats.org/officeDocument/2006/custom-properties" xmlns:vt="http://schemas.openxmlformats.org/officeDocument/2006/docPropsVTypes"/>
</file>