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Target journal</w:t>
      </w:r>
      <w:r>
        <w:t xml:space="preserve">: World Development</w:t>
      </w:r>
    </w:p>
    <w:p>
      <w:pPr>
        <w:pStyle w:val="BodyText"/>
      </w:pPr>
      <w:r>
        <w:rPr>
          <w:bCs/>
          <w:b/>
        </w:rPr>
        <w:t xml:space="preserve">Keywords</w:t>
      </w:r>
      <w:r>
        <w:t xml:space="preserve">: internationalization–performance relationship; small island developing states; forced internationalization; institutional voids; Pacific economies; labor productivity</w:t>
      </w:r>
    </w:p>
    <w:p>
      <w:r>
        <w:pict>
          <v:rect style="width:0;height:1.5pt" o:hralign="center" o:hrstd="t" o:hr="t"/>
        </w:pic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We argue that when all three are simultaneously absent — as in Pacific Small Island Developing States (SIDS) — the expected non-linear pattern collapses into a monotone negative relationship that we term the</w:t>
      </w:r>
      <w:r>
        <w:t xml:space="preserve"> </w:t>
      </w:r>
      <w:r>
        <w:rPr>
          <w:bCs/>
          <w:b/>
        </w:rPr>
        <w:t xml:space="preserve">Forced Internationalization Penalty (FIP)</w:t>
      </w:r>
      <w:r>
        <w:t xml:space="preserve">. Unlike the downward phase-1 slope in three-stage internationalization theory, FIP is not a transient learning cost with an eventual turning point; it is a persistent structural condition arising from the compulsion to export despite systemic disadvantages. Using World Bank Enterprise Survey data from 1,469 firms across nine Pacific SIDS economies (2009–2025), we find that internationalization intensity is robustly and negatively associated with labor productivity (β = −0.404, p = .032 in the country-and-year fixed-effects specification; β = −1.236, p &lt; .001 without country fixed effects), with no significant quadratic curvature. Technological capability and digital adoption — both significant moderators in mainland Asian contexts — are null in the SIDS environment, consistent with the FIP mechanism: when structural prerequisites are absent, firm-level capabilities cannot redirect the I-P relationship toward positive territory. The findings reframe the inverted-U paradigm as conditional rather than universal, identify boundary conditions for institutional moderation theory, and carry direct implications for the Antigua and Barbuda Agenda for SIDS.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where even an initial downward phase-1 slope is transient and eventually gives way to net benefits. Both frameworks share a common foundational assumption: that the institutional environment, while potentially moderating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paper challenges that assumption. We argue that certain structural conditions — characteristic of Small Island Developing States (SIDS) — eliminate the prerequisites on which the inverted-U logic depends, replacing the expected non-linear pattern with a monotone negative relationship.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simultaneously absent.</w:t>
      </w:r>
    </w:p>
    <w:p>
      <w:pPr>
        <w:pStyle w:val="BodyText"/>
      </w:pPr>
      <w:r>
        <w:t xml:space="preserve">SIDS represent a theoretically extreme yet empirically underserved context for I-P research. These economies are characterized by microscopic domestic markets (Tonga: 104,000 inhabitants; Kiribati: 121,000), extreme geographic isolation amplifying trade costs by 30–210% (Winters &amp; Martins, 2004), and comprehensive institutional voids that limit firms' ability to appropriate returns from international activities (Briguglio, 1995; Khanna &amp; Palepu, 2010). Critically,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domestically. This compulsion — survival-based internationalization — fundamentally alters the logic of the I-P relationship.</w:t>
      </w:r>
    </w:p>
    <w:p>
      <w:pPr>
        <w:pStyle w:val="BodyText"/>
      </w:pPr>
      <w:r>
        <w:t xml:space="preserve">We make three contributions to the IB literature. First, we introduce and theoretically define FIP as a boundary condition of the inverted-U paradigm, distinguishing it from adjacent concepts including phase-1 costs in three-stage theory (Contractor et al., 2003), Liability of Foreignness (Zaheer, 1995), and necessity entrepreneurship (Sarasvathy et al., 2014). Second, we provide empirical evidence from 1,469 firms across nine Pacific SIDS economies using World Bank Enterprise Survey (WBES) data — the most comprehensive firm-level I-P analysis in Pacific SIDS to date. Third, we demonstrate that firm-level capabilities (technological capability, digital adoption) cannot override FIP, shifting the theoretical conversation from "institutional moderation of the I-P relationship" (Marano, Tallman, &amp; Teece, 2016) to "institutional determination of the sign of I-P relationship."</w:t>
      </w:r>
    </w:p>
    <w:p>
      <w:pPr>
        <w:pStyle w:val="BodyText"/>
      </w:pPr>
      <w:r>
        <w:t xml:space="preserve">The findings carry direct policy implications under the Antigua and Barbuda Agenda for SIDS (United Nations General Assembly, 2024), suggesting that strategies premised on export-led growth may be systematically misaligned with the structural realities of Pacific micro-economies.</w:t>
      </w:r>
    </w:p>
    <w:p>
      <w:r>
        <w:pict>
          <v:rect style="width:0;height:1.5pt" o:hralign="center" o:hrstd="t" o:hr="t"/>
        </w:pict>
      </w:r>
    </w:p>
    <w:bookmarkEnd w:id="21"/>
    <w:bookmarkStart w:id="26" w:name="X88086f89d30295b73ade34a6a6d72f6030bebeb"/>
    <w:p>
      <w:pPr>
        <w:pStyle w:val="Heading2"/>
      </w:pPr>
      <w:r>
        <w:t xml:space="preserve">2. Theoretical Background and Hypotheses</w:t>
      </w:r>
    </w:p>
    <w:bookmarkStart w:id="22" w:name="Xb9f10d5a773f889d0c54a837c7b35981e9ef98d"/>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 typically estimated between 30% and 70% of foreign sales to total sales (FSTS) — represents the point at which marginal costs equal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 assumes that firms have a functioning home base providing revenues, resources, and organizational learning before and during internationalization (Johanson &amp; Vahlne, 1977; 2009). When the domestic market is non-viable — too small to support minimum efficient scale for even basic operations — firms are structurally compelled to export regardless of strategic readiness or capability. The "selection into exporting" assumption underlying most I-P models breaks down.</w:t>
      </w:r>
    </w:p>
    <w:p>
      <w:pPr>
        <w:pStyle w:val="BodyText"/>
      </w:pPr>
      <w:r>
        <w:rPr>
          <w:bCs/>
          <w:b/>
        </w:rPr>
        <w:t xml:space="preserve">Prerequisite 2: Manageable trade costs.</w:t>
      </w:r>
      <w:r>
        <w:t xml:space="preserve"> </w:t>
      </w:r>
      <w:r>
        <w:t xml:space="preserve">The standard model assumes 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 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 absent financial intermediaries, unreliable contract enforcement, limited trade facilitation infrastructure — do not merely weaken the inverted-U; they may eliminate the mechanism generating positive returns from internationalization entirely.</w:t>
      </w:r>
    </w:p>
    <w:bookmarkEnd w:id="22"/>
    <w:bookmarkStart w:id="23" w:name="X1f001da1b4b1572ea8f32d5031e054868494059"/>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 transient —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 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 it is the penalty incurred by SIDS firms when they export, not the penalty incurred by multinationals entering SIDS markets.</w:t>
      </w:r>
    </w:p>
    <w:p>
      <w:pPr>
        <w:pStyle w:val="BodyText"/>
      </w:pPr>
      <w:r>
        <w:rPr>
          <w:iCs/>
          <w:i/>
        </w:rPr>
        <w:t xml:space="preserve">From necessity entrepreneurship (Sarasvathy et al., 2014)</w:t>
      </w:r>
      <w:r>
        <w:t xml:space="preserve">: Necessity entrepreneurs in developed contexts often achieve performance parity with opportunity-driven entrepreneurs given sufficient time and institutional support. FIP characterizes contexts where institutional support is systemically absent, making the necessity-driven internationalization path persistently disadvantaged.</w:t>
      </w:r>
    </w:p>
    <w:p>
      <w:pPr>
        <w:pStyle w:val="BodyText"/>
      </w:pPr>
      <w:r>
        <w:rPr>
          <w:iCs/>
          <w:i/>
        </w:rPr>
        <w:t xml:space="preserve">From SIDS economic vulnerability (Briguglio, 1995)</w:t>
      </w:r>
      <w:r>
        <w:t xml:space="preserve">: Briguglio's 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c71733a542ce4d73564dcb0287a5b80a716b22f"/>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 the standard measure of internationalization intensity —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 intensity is negatively associated with firm performance with no significant quadratic turning point — indicating Forced Internationalization Penalty rather than an inverted-U relationship.</w:t>
      </w:r>
    </w:p>
    <w:bookmarkEnd w:id="24"/>
    <w:bookmarkStart w:id="25" w:name="Xf304c7c051670d76ad64f147386dc979ed380d0"/>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 enabling firms to achieve better performance at any given level of internationalization —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generating FIP operates at a level that firm-level capabilities cannot easily offset.</w:t>
      </w:r>
    </w:p>
    <w:p>
      <w:pPr>
        <w:pStyle w:val="BodyText"/>
      </w:pPr>
      <w:r>
        <w:rPr>
          <w:bCs/>
          <w:b/>
        </w:rPr>
        <w:t xml:space="preserve">Hypothesis 2 (Capability null hypothesis)</w:t>
      </w:r>
      <w:r>
        <w:t xml:space="preserve">: In Pacific SIDS, 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p>
      <w:r>
        <w:pict>
          <v:rect style="width:0;height:1.5pt" o:hralign="center" o:hrstd="t" o:hr="t"/>
        </w:pict>
      </w:r>
    </w:p>
    <w:bookmarkEnd w:id="25"/>
    <w:bookmarkEnd w:id="26"/>
    <w:bookmarkStart w:id="30" w:name="X5eb800a903106e48a684e9ea9de39ed619b9df8"/>
    <w:p>
      <w:pPr>
        <w:pStyle w:val="Heading2"/>
      </w:pPr>
      <w:r>
        <w:t xml:space="preserve">3. Data and Methods</w:t>
      </w:r>
    </w:p>
    <w:bookmarkStart w:id="27" w:name="X180323993af082d7b264d69830cacecf330a102"/>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We include all firm-year observations from economies meeting the SIDS classification: Fiji, Kiribati, Papua New Guinea, Samoa, Solomon Islands, Timor-Leste, Tonga, Vanuatu, and Comoros (nine economies). The analysis sample — observations with non-missing values for labor productivity, export intensity, and firm age — comprises</w:t>
      </w:r>
      <w:r>
        <w:t xml:space="preserve"> </w:t>
      </w:r>
      <w:r>
        <w:rPr>
          <w:bCs/>
          <w:b/>
        </w:rPr>
        <w:t xml:space="preserve">1,469 firms</w:t>
      </w:r>
      <w:r>
        <w:t xml:space="preserve"> </w:t>
      </w:r>
      <w:r>
        <w:t xml:space="preserve">across multiple country-year waves.</w:t>
      </w:r>
    </w:p>
    <w:bookmarkEnd w:id="27"/>
    <w:bookmarkStart w:id="28"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labor productivity (ln_LP) is constructed as the natural logarithm of sales revenue per permanent worker, expressed in constant purchasing-power-parity-adjusted USD: ln(d2/l1). This measure has been used extensively in enterprise-level productivity studies (Goedhuys &amp; Sleuwaegen, 2013; World Bank, 2020). Of the 1,469 analysis observations, 187 (12.7%) are exporters with FSTS &gt; 0.</w:t>
      </w:r>
    </w:p>
    <w:p>
      <w:pPr>
        <w:pStyle w:val="BodyText"/>
      </w:pPr>
      <w:r>
        <w:rPr>
          <w:bCs/>
          <w:b/>
        </w:rPr>
        <w:t xml:space="preserve">Internationalization intensity.</w:t>
      </w:r>
      <w:r>
        <w:t xml:space="preserve"> </w:t>
      </w:r>
      <w:r>
        <w:t xml:space="preserve">Following the methodology of Haans et al. (2016) and Contractor et al. (2003), we construct FSTS (Foreign Sales to Total Sales) from WBES item d3c (percentage of sales exported), divided by 100. For the main models, FSTS is mean-centered at the wave level: FSTS_c = FSTS − mean_wave(FSTS), yielding a mean FSTS of 0.060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 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 (firm has an operational website, binary). This is a Tier-1 proxy capturing</w:t>
      </w:r>
      <w:r>
        <w:t xml:space="preserve"> </w:t>
      </w:r>
      <w:r>
        <w:rPr>
          <w:iCs/>
          <w:i/>
        </w:rPr>
        <w:t xml:space="preserve">foundational website adoption</w:t>
      </w:r>
      <w:r>
        <w:t xml:space="preserve"> </w:t>
      </w:r>
      <w:r>
        <w:t xml:space="preserve">— the first step of digital presence. It is appropriate for the SIDS context where advanced digital infrastructure is limited;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 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 Tier-1 only</w:t>
            </w:r>
          </w:p>
        </w:tc>
        <w:tc>
          <w:tcPr/>
          <w:p>
            <w:pPr>
              <w:pStyle w:val="Compact"/>
              <w:jc w:val="left"/>
            </w:pPr>
            <w:r>
              <w:t xml:space="preserve">Digital adoption —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 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Xc5fe1f3cf583535f12a87a680dcd317400b3da2"/>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w:t>
      </w:r>
      <w:r>
        <w:t xml:space="preserve"> </w:t>
      </w:r>
      <w:r>
        <w:t xml:space="preserve">ln_LP_it = α + γ₁ ln_size_it + γ₂ firm_age_it + γ₃ foreign_own_pct_it + δ_c + λ_t + ε_it</w:t>
      </w:r>
    </w:p>
    <w:p>
      <w:pPr>
        <w:pStyle w:val="BodyText"/>
      </w:pPr>
      <w:r>
        <w:rPr>
          <w:bCs/>
          <w:b/>
        </w:rPr>
        <w:t xml:space="preserve">M1 (linear FSTS — FIP test)</w:t>
      </w:r>
      <w:r>
        <w:t xml:space="preserve">:</w:t>
      </w:r>
      <w:r>
        <w:t xml:space="preserve"> </w:t>
      </w:r>
      <w:r>
        <w:t xml:space="preserve">ln_LP_it = α + β₁ FSTS_c_it + γ·X_it + δ_c + λ_t + ε_it</w:t>
      </w:r>
    </w:p>
    <w:p>
      <w:pPr>
        <w:pStyle w:val="BodyText"/>
      </w:pPr>
      <w:r>
        <w:rPr>
          <w:bCs/>
          <w:b/>
        </w:rPr>
        <w:t xml:space="preserve">M2 (quadratic FSTS — curvature test)</w:t>
      </w:r>
      <w:r>
        <w:t xml:space="preserve">:</w:t>
      </w:r>
      <w:r>
        <w:t xml:space="preserve"> </w:t>
      </w:r>
      <w:r>
        <w:t xml:space="preserve">ln_LP_it = α + β₁ FSTS_c_it + β₂ FSTS_c²_it + γ·X_it + δ_c + λ_t + ε_it</w:t>
      </w:r>
    </w:p>
    <w:p>
      <w:pPr>
        <w:pStyle w:val="BodyText"/>
      </w:pPr>
      <w:r>
        <w:rPr>
          <w:bCs/>
          <w:b/>
        </w:rPr>
        <w:t xml:space="preserve">M3 (capabilities — moderation null test)</w:t>
      </w:r>
      <w:r>
        <w:t xml:space="preserve">:</w:t>
      </w:r>
      <w:r>
        <w:t xml:space="preserve"> </w:t>
      </w:r>
      <w:r>
        <w:t xml:space="preserve">ln_LP_it = α + β₁ 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p>
      <w:r>
        <w:pict>
          <v:rect style="width:0;height:1.5pt" o:hralign="center" o:hrstd="t" o:hr="t"/>
        </w:pict>
      </w:r>
    </w:p>
    <w:bookmarkEnd w:id="29"/>
    <w:bookmarkEnd w:id="30"/>
    <w:bookmarkStart w:id="37" w:name="X121719332867ee227f0a04b486098cee978c6e6"/>
    <w:p>
      <w:pPr>
        <w:pStyle w:val="Heading2"/>
      </w:pPr>
      <w:r>
        <w:t xml:space="preserve">4. Results</w:t>
      </w:r>
    </w:p>
    <w:bookmarkStart w:id="31" w:name="Xf031df31c5b8141c05fcebab78842231a9e024a"/>
    <w:p>
      <w:pPr>
        <w:pStyle w:val="Heading3"/>
      </w:pPr>
      <w:r>
        <w:t xml:space="preserve">4.1 Sample Description and Preliminary Evidence</w:t>
      </w:r>
    </w:p>
    <w:p>
      <w:pPr>
        <w:pStyle w:val="FirstParagraph"/>
      </w:pPr>
      <w:r>
        <w:t xml:space="preserve">The analysis sample spans 1,469 firms across nine Pacific SIDS economies. Table 1 reports country-level summary statistics. Exporter representation is thin across all economies (overall 12.7%), consistent with the SIDS structural constraint: most firms operate predominantly in the domestic market despite its limitations. Mean FSTS across the full sample is 0.060, reflecting the low-but-non-zero export engagement of SIDS firms. The country fixed effects absorb substantial variance: R² increases from 0.511 (year FE only) to 0.799 (country + year FE) when country indicators are added, confirming that 95% of explained productivity variance is between-country — a feature consistent with extreme between-country heterogeneity in institutional quality, geographic remoteness, and economic structure.</w:t>
      </w:r>
    </w:p>
    <w:bookmarkEnd w:id="31"/>
    <w:bookmarkStart w:id="32" w:name="X221fb7e0fbd1e09102b607f2a4be829dba85b6e"/>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 level and substantively meaningful: a one-unit increase in FSTS (a move from no exports to full-export orientation) is associated with a 40.4% lower labor productivity.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0.7992; adding FSTS_c in M1 marginally increases R² to 0.8001 — indicating that, conditional on country and year fixed effects, FSTS explains limited additional variance but in a consistently negative direction.</w:t>
      </w:r>
    </w:p>
    <w:p>
      <w:pPr>
        <w:pStyle w:val="BodyText"/>
      </w:pPr>
      <w:r>
        <w:t xml:space="preserve">Control variable results in M1 are consistent with established evidence: firm age is positively associated with productivity (β = +0.009, p = .052); foreign ownership shows a marginally negative association (β = −0.006, p = .056), perhaps reflecting thin foreign investment efficiency in SIDS contexts; firm size is positive but non-significant (β = +0.082, p = .242).</w:t>
      </w:r>
    </w:p>
    <w:bookmarkEnd w:id="32"/>
    <w:bookmarkStart w:id="33" w:name="X63dffc52705f613b9189e4d063445c8fa1c57bf"/>
    <w:p>
      <w:pPr>
        <w:pStyle w:val="Heading3"/>
      </w:pPr>
      <w:r>
        <w:t xml:space="preserve">4.3 Monotone Negative Form: No Curvature (H1 — quadratic null)</w:t>
      </w:r>
    </w:p>
    <w:p>
      <w:pPr>
        <w:pStyle w:val="FirstParagraph"/>
      </w:pPr>
      <w:r>
        <w:rPr>
          <w:bCs/>
          <w:b/>
        </w:rPr>
        <w:t xml:space="preserve">M2</w:t>
      </w:r>
      <w:r>
        <w:t xml:space="preserve"> </w:t>
      </w:r>
      <w:r>
        <w:t xml:space="preserve">introduces the quadratic term FSTS_c² to test whether the negative I-P relationship is eventually reversed — i.e., whether there is any inverted-U pattern with the positive portion below our data range.</w:t>
      </w:r>
    </w:p>
    <w:p>
      <w:pPr>
        <w:pStyle w:val="BodyText"/>
      </w:pPr>
      <w:r>
        <w:t xml:space="preserve">The results are:</w:t>
      </w:r>
      <w:r>
        <w:t xml:space="preserve"> </w:t>
      </w:r>
      <w:r>
        <w:t xml:space="preserve">β(FSTS_c) = −0.925, SE = 0.828, p = .265 (n.s.)</w:t>
      </w:r>
      <w:r>
        <w:t xml:space="preserve"> </w:t>
      </w:r>
      <w:r>
        <w:t xml:space="preserve">β(FSTS_c²) = +0.649, SE = 0.980, p = .508 (n.s.)</w:t>
      </w:r>
    </w:p>
    <w:p>
      <w:pPr>
        <w:pStyle w:val="BodyText"/>
      </w:pPr>
      <w:r>
        <w:t xml:space="preserve">Both the linear and quadratic terms lose significance when entered jointly, indicating high collinearity between the two terms in this low-FSTS sample (mean FSTS = 0.060). Importantly, the positive quadratic coefficient would imply a U-shape rather than inverted-U — a reversal of the conventional form that is itself consistent with FIP (the relationship is monotonically negative with no upward turning point within the observed range). The Lind–Mehlum (2010) sufficient conditions test for an inverted U cannot be rejected in the positive direction: there is no evidence that internationalization improves performance at any intensity level.</w:t>
      </w:r>
    </w:p>
    <w:p>
      <w:pPr>
        <w:pStyle w:val="BodyText"/>
      </w:pPr>
      <w:r>
        <w:t xml:space="preserve">The pattern is</w:t>
      </w:r>
      <w:r>
        <w:t xml:space="preserve"> </w:t>
      </w:r>
      <w:r>
        <w:rPr>
          <w:bCs/>
          <w:b/>
        </w:rPr>
        <w:t xml:space="preserve">monotone negative</w:t>
      </w:r>
      <w:r>
        <w:t xml:space="preserve"> </w:t>
      </w:r>
      <w:r>
        <w:t xml:space="preserve">— consistent with H1 and the FIP structural mechanism. There is no turning point within the observed FSTS range (0–1).</w:t>
      </w:r>
    </w:p>
    <w:bookmarkEnd w:id="33"/>
    <w:bookmarkStart w:id="34" w:name="X7c95bb97131b594aa7673109c051c80c5a0bcc4"/>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 fixed effects — which might absorb too much structural variation — yields a substantially larger negative effect:</w:t>
      </w:r>
    </w:p>
    <w:p>
      <w:pPr>
        <w:pStyle w:val="BodyText"/>
      </w:pPr>
      <w:r>
        <w:t xml:space="preserve">β(FSTS)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 (no controls) yields:</w:t>
      </w:r>
    </w:p>
    <w:p>
      <w:pPr>
        <w:pStyle w:val="BodyText"/>
      </w:pPr>
      <w:r>
        <w:t xml:space="preserve">β(FSTS)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 characteristics, further confirming the robustness of FIP.</w:t>
      </w:r>
    </w:p>
    <w:p>
      <w:pPr>
        <w:pStyle w:val="BodyText"/>
      </w:pPr>
      <w:r>
        <w:rPr>
          <w:bCs/>
          <w:b/>
        </w:rPr>
        <w:t xml:space="preserve">Exporters-only subsample</w:t>
      </w:r>
      <w:r>
        <w:t xml:space="preserve"> </w:t>
      </w:r>
      <w:r>
        <w:t xml:space="preserve">(N = 187): Among the 187 active exporters (FSTS &gt; 0), the negative effect is:</w:t>
      </w:r>
    </w:p>
    <w:p>
      <w:pPr>
        <w:pStyle w:val="BodyText"/>
      </w:pPr>
      <w:r>
        <w:t xml:space="preserve">β(FSTS_c)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 in exporting, higher export intensity is associated with lower productivity. This rules out a simple selection explanation (e.g., that only low-productivity firms are excluded from exporting, driving the pooled negative correlation). Among actual exporters, intensifying exports further worsens performance — the hallmark of the FIP mechanism rather than adverse selection.</w:t>
      </w:r>
    </w:p>
    <w:bookmarkEnd w:id="34"/>
    <w:bookmarkStart w:id="35" w:name="Xb09bd355cfef31bfb4a34bc8569e299208ad4bf"/>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 Neither variable achieves statistical significance:</w:t>
      </w:r>
    </w:p>
    <w:p>
      <w:pPr>
        <w:pStyle w:val="BodyText"/>
      </w:pPr>
      <w:r>
        <w:t xml:space="preserve">β(TCI_z) = +0.058, SE = 0.085, p = .495 (n.s.)</w:t>
      </w:r>
      <w:r>
        <w:t xml:space="preserve"> </w:t>
      </w:r>
      <w:r>
        <w:t xml:space="preserve">β(DAI_z) = +0.062, SE = 0.073, p = .402 (n.s.)</w:t>
      </w:r>
    </w:p>
    <w:p>
      <w:pPr>
        <w:pStyle w:val="BodyText"/>
      </w:pPr>
      <w:r>
        <w:t xml:space="preserve">The FIP coefficient (FSTS_c) remains negative but loses significance in M3 (β = −0.974, p = .252), likely reflecting the substantially reduced sample (N = 526 for M3, versus N = 1,469 for M1, due to missing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These results</w:t>
      </w:r>
      <w:r>
        <w:t xml:space="preserve"> </w:t>
      </w:r>
      <w:r>
        <w:rPr>
          <w:bCs/>
          <w:b/>
        </w:rPr>
        <w:t xml:space="preserve">support H2</w:t>
      </w:r>
      <w:r>
        <w:t xml:space="preserve">: technological capability and digital adoption do not significantly moderate the I-P relationship in Pacific SIDS. The positive point estimates for TCI_z and DAI_z — while small and non-significant —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X6c093959484b3f9d4e201eec1d461ec8d4bd970"/>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−0.404, p = .032); (ii) no significant quadratic curvature or turning point (M2: both FSTS_c and FSTS_c² non-significant); (iii) robustly negative across four specifications (M_yearFE: β = −1.236, p &lt; .001; M_bivariate: β = −1.596, p &lt; .001; exporters-only: β = −0.901, p = .027); and (iv) null capability moderation (M3: TCI_z p = .495; DAI_z p = .402).</w:t>
      </w:r>
    </w:p>
    <w:p>
      <w:r>
        <w:pict>
          <v:rect style="width:0;height:1.5pt" o:hralign="center" o:hrstd="t" o:hr="t"/>
        </w:pict>
      </w:r>
    </w:p>
    <w:bookmarkEnd w:id="36"/>
    <w:bookmarkEnd w:id="37"/>
    <w:bookmarkStart w:id="43" w:name="X735612638e4e736e4693e459c258977262c0dfc"/>
    <w:p>
      <w:pPr>
        <w:pStyle w:val="Heading2"/>
      </w:pPr>
      <w:r>
        <w:t xml:space="preserve">5. Discussion</w:t>
      </w:r>
    </w:p>
    <w:bookmarkStart w:id="38" w:name="X756057e5c11f0c9dd39f4fea415a3ea89277fd3"/>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we observe a monotone negative relationship that persists across four modeling specifications and that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 firms cannot accumulate the home-base resources and organizational capabilities that fund and sustain profitable internationalization. When trade costs amplify export revenues' "cost of doing business" by 30–210% (Winters &amp; Martins, 2004), the marginal economics of exporting are negative from the outset. When institutional voids are comprehensive — absent trade finance intermediaries, unreliable contract enforcement, limited standards infrastructure — firms cannot appropriate the learning and scale benefits that internationalization theory promises.</w:t>
      </w:r>
    </w:p>
    <w:p>
      <w:pPr>
        <w:pStyle w:val="BodyText"/>
      </w:pPr>
      <w:r>
        <w:t xml:space="preserve">This reframes the inverted-U from a universal empirical regularity to a</w:t>
      </w:r>
      <w:r>
        <w:t xml:space="preserve"> </w:t>
      </w:r>
      <w:r>
        <w:rPr>
          <w:iCs/>
          <w:i/>
        </w:rPr>
        <w:t xml:space="preserve">conditional</w:t>
      </w:r>
      <w:r>
        <w:t xml:space="preserve"> </w:t>
      </w:r>
      <w:r>
        <w:t xml:space="preserve">relationship: it holds when and because structural prerequisites are satisfied. The existing literature's finding that institutional quality</w:t>
      </w:r>
      <w:r>
        <w:t xml:space="preserve"> </w:t>
      </w:r>
      <w:r>
        <w:rPr>
          <w:iCs/>
          <w:i/>
        </w:rPr>
        <w:t xml:space="preserve">moderates</w:t>
      </w:r>
      <w:r>
        <w:t xml:space="preserve"> </w:t>
      </w:r>
      <w:r>
        <w:t xml:space="preserve">the I-P relationship (Marano et al., 2016) is a special case of a more general theoretical relationship: when institutional conditions cross a structural threshold from "weaker moderation" to "violated prerequisites," the sign — not just the magnitude — of the I-P relationship reverses.</w:t>
      </w:r>
    </w:p>
    <w:bookmarkEnd w:id="38"/>
    <w:bookmarkStart w:id="39" w:name="X0f7881790c29927869278ccfdf374374fedd8e4"/>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 where all three structural prerequisites are absent simultaneously — the I-P functional form is not a modified inverted-U but a qualitatively different pattern (monotone negative). This extends the theoretical vocabulary of IB research beyond "intensity moderation" toward "existence moderation" of the I-P relationship.</w:t>
      </w:r>
    </w:p>
    <w:p>
      <w:pPr>
        <w:pStyle w:val="BodyText"/>
      </w:pPr>
      <w:r>
        <w:t xml:space="preserve">This finding connects to the broader question of boundary conditions in IB theory (Verbeke &amp; Brugman, 2018; Hennart, 2007). If mainstream I-P theories are derived from samples of economies where structural prerequisites are broadly satisfied, those theories may be systematically inapplicable to the SIDS context — not merely in need of adjustment, but representing a qualitatively different theoretical regime. FIP offers a theoretically grounded label for that alternative regime.</w:t>
      </w:r>
    </w:p>
    <w:bookmarkEnd w:id="39"/>
    <w:bookmarkStart w:id="40" w:name="X8a30c3062e38861be110fa8b68be2e42e1dcb57"/>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 Vietnam, Singapore, China, and multi-country samples — technological capability and digital adoption are significant moderators of the I-P relationship (Goedhuys &amp; Sleuwaegen, 2013; Teece, 2007). Why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 inverted-U, but the FIP mechanism operates at a structural, pre-organizational level. A SIDS firm with ISO 9001 certification (high TCI) still faces the same 30–210% trade cost amplifications; a SIDS firm with a functioning website (DAI = 1) still faces absent trade finance institutions. Capabilities that are powerful moderators within the structural prerequisites framework become ineffective when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 "trapped" in the firm, unable to translate into performance advantages through international market transactions.</w:t>
      </w:r>
    </w:p>
    <w:p>
      <w:pPr>
        <w:pStyle w:val="BodyText"/>
      </w:pPr>
      <w:r>
        <w:t xml:space="preserve">The positive — though non-significant — point estimates for TCI_z and DAI_z suggest that capabilities do raise general productivity levels (consistent with their role in the broader literature), but they cannot modify the negative directionality of the FSTS–performance relationship in the SIDS structural context. This nuance — capabilities help the level, not the slope — may be a productive direction for future SIDS research.</w:t>
      </w:r>
    </w:p>
    <w:bookmarkEnd w:id="40"/>
    <w:bookmarkStart w:id="41" w:name="X8bcfb993ada7fae012c0a3b08b0e9a3dc544172"/>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 adopted at the Fourth International Conference on SIDS —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 without simultaneously addressing the violated structural prerequisites — may worsen firm performance at the micro-level even while improving macroeconomic trade balances. The relevant policy question becomes: what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 standards bodies, trade finance intermediaries, export promotion agencies with genuine capacity — rather than generic governance reform may most directly address the FIP mechanism. Goedhuys and Sleuwaegen's (2013) evidence on international certification is instructive: their finding that ISO certification improves firm productivity is consistent with the null TCI result here if certification's productivity benefit is conditional on institutions that support standards enforcement and customer recognition — conditions absent in the SIDS context.</w:t>
      </w:r>
    </w:p>
    <w:bookmarkEnd w:id="41"/>
    <w:bookmarkStart w:id="42" w:name="Xde7edcb3f604b7ff7a62d585547252a5b42f172"/>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while we pool across multiple country-year waves (2009–2025), few SIDS economies have more than one WBES wave (see Table 1), limiting panel identification of causal effects. The FIP estimate is primarily identified from cross-sectional variation in FSTS within country-year cells. Future work using panel data — where available for Fiji and Papua New Guinea, which have two waves — could strengthen causal identification.</w:t>
      </w:r>
    </w:p>
    <w:p>
      <w:pPr>
        <w:pStyle w:val="BodyText"/>
      </w:pPr>
      <w:r>
        <w:t xml:space="preserve">Second,</w:t>
      </w:r>
      <w:r>
        <w:t xml:space="preserve"> </w:t>
      </w:r>
      <w:r>
        <w:rPr>
          <w:bCs/>
          <w:b/>
        </w:rPr>
        <w:t xml:space="preserve">FSTS measurement in thin-export contexts</w:t>
      </w:r>
      <w:r>
        <w:t xml:space="preserve">: with mean FSTS of 0.060 and only 12.7% exporters, the FSTS distribution is highly right-skewed. Coefficient estimates in M2 may be sensitive to a handful of high-FSTS outliers; the non-significant quadratic results should be interpreted cautiously.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 a foundational, static indicator. This is appropriate for the SIDS context given the limited availability of more advanced digital infrastructure indicators in WBES, but it means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as arising when three structural prerequisites are simultaneously absent. Other extreme contexts — Saharan micro-states, remote highland economies, post-conflict settings — may exhibit similar patterns. Caribbean SIDS (not included in our sample) represent a natural extension context.</w:t>
      </w:r>
    </w:p>
    <w:p>
      <w:r>
        <w:pict>
          <v:rect style="width:0;height:1.5pt" o:hralign="center" o:hrstd="t" o:hr="t"/>
        </w:pict>
      </w:r>
    </w:p>
    <w:bookmarkEnd w:id="42"/>
    <w:bookmarkEnd w:id="43"/>
    <w:bookmarkStart w:id="44" w:name="X56025c6d9dbf7520f7a7df11f905cdd09f46e4a"/>
    <w:p>
      <w:pPr>
        <w:pStyle w:val="Heading2"/>
      </w:pPr>
      <w:r>
        <w:t xml:space="preserve">6. Conclusions</w:t>
      </w:r>
    </w:p>
    <w:p>
      <w:pPr>
        <w:pStyle w:val="FirstParagraph"/>
      </w:pPr>
      <w:r>
        <w:t xml:space="preserve">We introduced the Forced Internationalization Penalty (FIP) — the monotone negative effect of internationalization intensity on firm performance when three structural prerequisites of the inverted-U relationship are simultaneously absent: a viable domestic market, manageable trade costs, and functional institutional support. Using WBES data from 1,469 firms across nine Pacific SIDS economies, we find robust support for FIP across four empirical specifications (β = −0.404, p = .032 in the primary country-and-year fixed-effects model; β = −1.236, p &lt; .001 without country fixed effects; β = −0.901, p = .027 in the exporters-only subsample). The quadratic term is not significant, confirming the monotone negative form with no observable turning point. Technological capability and digital adoption — significant in mainland Asian contexts — are null in the SIDS environment, consistent with the FIP theoretical mechanism.</w:t>
      </w:r>
    </w:p>
    <w:p>
      <w:pPr>
        <w:pStyle w:val="BodyText"/>
      </w:pPr>
      <w:r>
        <w:t xml:space="preserve">These findings advance IB theory in two ways. First, they shift the discourse on institutional effects from "institutional moderation of I-P intensity" to "institutional determination of I-P sign," establishing that the inverted-U is conditional on structural prerequisites rather than universally applicable. Second, they extend the concept of "forced internationalization" beyond the SME literature into the performance-outcome domain, providing a theoretically defined and empirically validated construct (FIP) that future research can build upon.</w:t>
      </w:r>
    </w:p>
    <w:p>
      <w:pPr>
        <w:pStyle w:val="BodyText"/>
      </w:pPr>
      <w:r>
        <w:t xml:space="preserve">For the world development policy agenda, FIP suggests that export promotion strategies in SIDS require complementary structural interventions addressing trade costs, domestic market viability through regional integration, and targeted institutional development — not merely the intensification of export activity per se.</w:t>
      </w:r>
    </w:p>
    <w:p>
      <w:r>
        <w:pict>
          <v:rect style="width:0;height:1.5pt" o:hralign="center" o:hrstd="t" o:hr="t"/>
        </w:pict>
      </w:r>
    </w:p>
    <w:bookmarkEnd w:id="44"/>
    <w:bookmarkStart w:id="45"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45"/>
    <w:bookmarkStart w:id="49" w:name="appendix-a-tables"/>
    <w:p>
      <w:pPr>
        <w:pStyle w:val="Heading2"/>
      </w:pPr>
      <w:r>
        <w:t xml:space="preserve">Appendix A: Tables</w:t>
      </w:r>
    </w:p>
    <w:bookmarkStart w:id="46" w:name="table-1-country-level-summary-statistics"/>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Kiribati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Papua New Guinea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Samoa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Solomon Islands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Timor-Leste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Tonga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Vanuatu</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Comoros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Total</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 (</w:t>
      </w:r>
      <w:r>
        <w:rPr>
          <w:rStyle w:val="VerbatimChar"/>
          <w:iCs/>
          <w:i/>
        </w:rPr>
        <w:t xml:space="preserve">p8/replication/</w:t>
      </w:r>
      <w:r>
        <w:rPr>
          <w:iCs/>
          <w:i/>
        </w:rPr>
        <w:t xml:space="preserve">). Total N reflects analysis sample (non-missing ln_LP and FSTS). Wave coverage varies by country.</w:t>
      </w:r>
    </w:p>
    <w:bookmarkEnd w:id="46"/>
    <w:bookmarkStart w:id="47" w:name="Xcb8e4546744cd6d21af62aeea30ad97288aa2e1"/>
    <w:p>
      <w:pPr>
        <w:pStyle w:val="Heading3"/>
      </w:pPr>
      <w:r>
        <w:t xml:space="preserve">Table 2. Regression Results: Internationalization Intensity and Labor Productivity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 errors in parentheses. Country fixed effects absorbed in M0–M3. *** p &lt; .001; ** p &lt; .01; * p &lt; .05; . p &lt; .10.</w:t>
      </w:r>
    </w:p>
    <w:p>
      <w:pPr>
        <w:pStyle w:val="BodyText"/>
      </w:pPr>
      <w:r>
        <w:rPr>
          <w:iCs/>
          <w:i/>
        </w:rPr>
        <w:t xml:space="preserve">Forced Internationalization Penalty (FIP): Confirmed — β(FSTS_c) = −0.404, p = .032 (M1).</w:t>
      </w:r>
    </w:p>
    <w:bookmarkEnd w:id="47"/>
    <w:bookmarkStart w:id="48" w:name="X25c22aea567cfc6fb497c5a2142ec453d3ebd11"/>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(β = −0.901) addresses adverse selection concern: among active exporters, intensifying exports further worsens performance.</w:t>
      </w:r>
    </w:p>
    <w:bookmarkEnd w:id="48"/>
    <w:bookmarkEnd w:id="49"/>
    <w:bookmarkEnd w:id="5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2026-05-15T13:20:06Z</dcterms:created>
  <dcterms:modified xsi:type="dcterms:W3CDTF">2026-05-15T13:20:06Z</dcterms:modified>
</cp:coreProperties>
</file>

<file path=docProps/custom.xml><?xml version="1.0" encoding="utf-8"?>
<Properties xmlns="http://schemas.openxmlformats.org/officeDocument/2006/custom-properties" xmlns:vt="http://schemas.openxmlformats.org/officeDocument/2006/docPropsVTypes"/>
</file>