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vai trò của năng lực công nghệ và áp dụng công nghệ số nền tảng đối với mối quan hệ giữa quốc tế hoá và hiệu quả hoạt động kinh doanh của doanh nghiệp tại một nền kinh tế tiên tiến về số. Singapore được xem là trường hợp biên kiểm định ở mức trần của phổ Bối cảnh Thể chế và Biến Quản lý (Institutional Context and Regulatory Variables, ICRV), nơi lô-gíc chữ U ngược cổ điển được thử thách dưới điều kiện hạ tầng số khuếch tán gần như phổ quát và chi phí giao dịch thể chế ở mức thấp nhất.</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cho Singapore năm 2023, phân tích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 Ước lượng bình phương nhỏ nhất theo đợt khảo sát bao gồm số hạng bậc hai của cường độ xuất khẩu và các đặc tả tương tác, sai số chuẩn vững HC1, với ngôn ngữ nhân quả có kỷ luật báo cáo các liên hệ (associations) thay vì tác động (effects).</w:t>
      </w:r>
    </w:p>
    <w:p>
      <w:pPr>
        <w:pStyle w:val="BodyText"/>
      </w:pPr>
      <w:r>
        <w:rPr>
          <w:bCs/>
          <w:b/>
        </w:rPr>
        <w:t xml:space="preserve">Kết quả nghiên cứu.</w:t>
      </w:r>
      <w:r>
        <w:t xml:space="preserve"> </w:t>
      </w:r>
      <w:r>
        <w:t xml:space="preserve">Ba kết quả trong-một-bối-cảnh xuất hiện. Thứ nhất, trong khoảng cường độ xuất khẩu quan sát được, mối quan hệ này được mô tả tốt hơn là chủ yếu dương với độ cong bậc hai nhẹ, thay vì là hình chữ U ngược được nhận dạng chính thức; điểm ngoặt phù hợp nằm trong vùng đuôi trên dữ liệu thưa thớt. Thứ hai, năng lực công nghệ có liên hệ thuận chiều với năng suất lao động, trong khi không phát hiện được tác động điều tiết của TCI có ý nghĩa thống kê dưới thiết kế hiện tại. Thứ ba, áp dụng công nghệ số không thể hiện một mức chênh năng suất đồng đều giữa các doanh nghiệp; liên hệ giữa DAI và năng suất trở nên thuận chiều hơn ở mức cường độ xuất khẩu cao, với tín hiệu rõ nhất tập trung ở đuôi xuất khẩu cao.</w:t>
      </w:r>
    </w:p>
    <w:p>
      <w:pPr>
        <w:pStyle w:val="BodyText"/>
      </w:pPr>
      <w:r>
        <w:rPr>
          <w:bCs/>
          <w:b/>
        </w:rPr>
        <w:t xml:space="preserve">Tính mới / đóng góp.</w:t>
      </w:r>
      <w:r>
        <w:t xml:space="preserve"> </w:t>
      </w:r>
      <w:r>
        <w:t xml:space="preserve">Nghiên cứu đóng góp cho tài liệu kinh doanh quốc tế bằng cách làm sắc nét sự phân biệt giữa năng lực công nghệ và áp dụng công nghệ số nền tảng trong một bối cảnh đã bão hoà số. Phát hiện gợi ý rằng áp dụng công nghệ số nền tảng có thể vận hành nhiều hơn như một nguồn lực mở rộng có điều kiện (conditional scaling resource) hơn là một lợi thế năng suất đồng đều, qua đó bổ chính chứ không lật ngược tài liệu phi tuyến quốc tế hoá-hiệu quả truyền thống.</w:t>
      </w:r>
    </w:p>
    <w:p>
      <w:pPr>
        <w:pStyle w:val="BodyText"/>
      </w:pPr>
      <w:r>
        <w:rPr>
          <w:bCs/>
          <w:b/>
        </w:rPr>
        <w:t xml:space="preserve">Từ khoá:</w:t>
      </w:r>
      <w:r>
        <w:t xml:space="preserve"> </w:t>
      </w:r>
      <w:r>
        <w:t xml:space="preserve">quốc tế hoá-hiệu quả hoạt động; áp dụng công nghệ số; năng lực công nghệ; cường độ xuất khẩu; năng suất lao động; Singapore.</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chúng tôi gọi là</w:t>
      </w:r>
      <w:r>
        <w:t xml:space="preserve"> </w:t>
      </w:r>
      <w:r>
        <w:rPr>
          <w:iCs/>
          <w:i/>
        </w:rPr>
        <w:t xml:space="preserve">nghịch lý bão hoà số</w:t>
      </w:r>
      <w:r>
        <w:t xml:space="preserve"> </w:t>
      </w:r>
      <w:r>
        <w:t xml:space="preserve">(digital saturation paradox): trong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Phù hợp với nhận định này, mẫu Singapore cho thấy 82% doanh nghiệp báo cáo không xuất khẩu, trong khi chỉ 3% vượt 50% doanh thu nước ngoài trên tổng doanh thu. Đây là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Thay vào đó, các lợi suất này chủ yếu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Đó là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 vốn có thể có ý nghĩa khác nhau ở các giai đoạn quốc tế hoá khác nhau.</w:t>
      </w:r>
    </w:p>
    <w:p>
      <w:pPr>
        <w:pStyle w:val="BodyText"/>
      </w:pPr>
      <w:r>
        <w:t xml:space="preserve">Thứ hai,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Thứ ba, tài liệu về mối quan hệ I–P phi tuyến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88.6%,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88.6% trên thang đo gốc (−β₁/2β₂ trên FSTS đã trung bình hoá ≈ 84.1%; cộng lại trung bình mẫu 0.045 cho ≈ 88.6%.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88.6%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84.1%,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Thứ nhất,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Thứ hai,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Thứ ba,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Thứ nhất, một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Thứ hai, một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Thứ ba, một cơ chế</w:t>
      </w:r>
      <w:r>
        <w:t xml:space="preserve"> </w:t>
      </w:r>
      <w:r>
        <w:rPr>
          <w:iCs/>
          <w:i/>
        </w:rPr>
        <w:t xml:space="preserve">chọn lọc</w:t>
      </w:r>
      <w:r>
        <w:t xml:space="preserve"> </w:t>
      </w:r>
      <w:r>
        <w:t xml:space="preserve">sẽ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Thứ nhất,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Thứ hai,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Thứ ba,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2026-05-21T04:03:05Z</dcterms:created>
  <dcterms:modified xsi:type="dcterms:W3CDTF">2026-05-21T04:03:05Z</dcterms:modified>
</cp:coreProperties>
</file>

<file path=docProps/custom.xml><?xml version="1.0" encoding="utf-8"?>
<Properties xmlns="http://schemas.openxmlformats.org/officeDocument/2006/custom-properties" xmlns:vt="http://schemas.openxmlformats.org/officeDocument/2006/docPropsVTypes"/>
</file>