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 of technological capability and foundational digital adoption in shaping this relationship under conditions of substantial structural and digital transition.</w:t>
      </w:r>
    </w:p>
    <w:p>
      <w:pPr>
        <w:pStyle w:val="BodyText"/>
      </w:pPr>
      <w:r>
        <w:rPr>
          <w:bCs/>
          <w:b/>
        </w:rPr>
        <w:t xml:space="preserve">Design/methodology/approach.</w:t>
      </w:r>
      <w:r>
        <w:t xml:space="preserve"> </w:t>
      </w:r>
      <w:r>
        <w:t xml:space="preserve">The study uses World Bank Enterprise Survey microdata for China (2012, N = 2,619; 2024, N = 1,940; pooled N = 4,559) and estimates quadratic models with cross-wave and capability interactions, employing HC1 robust standard errors and cross-wave Paternoster z-tests for coefficient stability. A Technological Capability Index (TCI) built from international quality certification and foreign-licensed technology is distinguished from a single-item website-based digital presence indicator.</w:t>
      </w:r>
    </w:p>
    <w:p>
      <w:pPr>
        <w:pStyle w:val="BodyText"/>
      </w:pPr>
      <w:r>
        <w:rPr>
          <w:bCs/>
          <w:b/>
        </w:rPr>
        <w:t xml:space="preserve">Findings.</w:t>
      </w:r>
      <w:r>
        <w:t xml:space="preserve"> </w:t>
      </w:r>
      <w:r>
        <w:t xml:space="preserve">Estimated turning points remain in a remarkably tight range across waves, near 49% of foreign sales to total sales in 2012 and 47% in 2024, with overlapping 95% delta-method confidence intervals; cross-wave z-tests do not reject equality of the linear and squared export-intensity coefficients. Technological capability is robustly associated with higher productivity in both waves and the digital presence proxy shows a positive but weaker association in 2024 and the pooled sample. However, neither construct robustly moderates the curvature of the inverted-U: capability-by-curvature interactions are marginal, and the three-way capability-by-wave-by-curvature dynamic moderation test is null.</w:t>
      </w:r>
    </w:p>
    <w:p>
      <w:pPr>
        <w:pStyle w:val="BodyText"/>
      </w:pPr>
      <w:r>
        <w:rPr>
          <w:bCs/>
          <w:b/>
        </w:rPr>
        <w:t xml:space="preserve">Originality/value.</w:t>
      </w:r>
      <w:r>
        <w:t xml:space="preserve"> </w:t>
      </w:r>
      <w:r>
        <w:t xml:space="preserve">The study contributes to international business research by recasting the inverted-U threshold in Chinese private firms from a sample-specific regularity into an enduring structural feature of the setting. Despite substantial structural change in China between 2012 and 2024, the internationalisation-performance trade-off is shown to be durably structural rather than wave-specific or capability-conditioned, with implications for the export-intensity threshold literature and for capability-based moderation theories in emerging-market international business.</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381ce464dea7c255896689c71a7f2a436abddd0"/>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9674d8628028e36a007df1a1515aac9fbaaa78"/>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1f7b738080ac3df5042884e554def8fb164d3d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2026-05-21T04:03:03Z</dcterms:created>
  <dcterms:modified xsi:type="dcterms:W3CDTF">2026-05-21T04:03:03Z</dcterms:modified>
</cp:coreProperties>
</file>

<file path=docProps/custom.xml><?xml version="1.0" encoding="utf-8"?>
<Properties xmlns="http://schemas.openxmlformats.org/officeDocument/2006/custom-properties" xmlns:vt="http://schemas.openxmlformats.org/officeDocument/2006/docPropsVTypes"/>
</file>