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các nghiên cứu,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các-khái-niệm-cốt-lõi"/>
    <w:p>
      <w:pPr>
        <w:pStyle w:val="Heading2"/>
      </w:pPr>
      <w:r>
        <w:t xml:space="preserve">2.1 Các khái niệm cốt lõi</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w:t>
      </w:r>
    </w:p>
    <w:p>
      <w:pPr>
        <w:pStyle w:val="BodyText"/>
      </w:pPr>
      <w:r>
        <w:t xml:space="preserve">Trong các nghiên cứu,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Do &amp; Phan, 2026a).</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20"/>
    <w:bookmarkStart w:id="21"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các nghiên cứu.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(Do &amp; Phan, 2026a). Luận án sử dụng thước đo này làm biến phụ thuộc chính, với ROS và tăng trưởng doanh thu được sử dụng như các thước đo robustness để kiểm tra tính nhất quán của kết quả.</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TCI) và chỉ số chấp nhận số (Digital Adoption Index, DAI). Trong nhiều nghiên cứu trước đây, hai construct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RBV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47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(Advanced Innovation-Driven, bao gồm Singapore, Hong Kong, Đài Loan, Hàn Quốc), Nhóm II (Advanced Resource-Driven, bao gồm các nền kinh tế vùng Vịnh), Nhóm III (Upper-middle, điển hình là Trung Quốc), Nhóm IV (Lower-middle transition, bao gồm Việt Nam và Ấn Độ), Nhóm V (Frontier), và Nhóm VI (Pacific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23"/>
    <w:bookmarkEnd w:id="24"/>
    <w:bookmarkStart w:id="30" w:name="các-lý-thuyết-nền"/>
    <w:p>
      <w:pPr>
        <w:pStyle w:val="Heading2"/>
      </w:pPr>
      <w:r>
        <w:t xml:space="preserve">2.2 Các lý thuyết nền</w:t>
      </w:r>
    </w:p>
    <w:bookmarkStart w:id="2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platform firms,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bookmarkEnd w:id="25"/>
    <w:bookmarkStart w:id="26"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(Tier-1 proxy) đo lường sự hiện diện website,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26"/>
    <w:bookmarkStart w:id="27"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các nghiên cứu về quan hệ I–P, bằng chứng meta-analytic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27"/>
    <w:bookmarkStart w:id="28"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Upper Echelons Theory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liability of foreignness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28"/>
    <w:bookmarkStart w:id="29" w:name="lớp-mở-rộng-digital-capability-lens"/>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w:t>
      </w:r>
    </w:p>
    <w:p>
      <w:r>
        <w:pict>
          <v:rect style="width:0;height:1.5pt" o:hralign="center" o:hrstd="t" o:hr="t"/>
        </w:pict>
      </w:r>
    </w:p>
    <w:bookmarkEnd w:id="29"/>
    <w:bookmarkEnd w:id="30"/>
    <w:bookmarkStart w:id="35" w:name="tổng-quan-thực-nghiệm"/>
    <w:p>
      <w:pPr>
        <w:pStyle w:val="Heading2"/>
      </w:pPr>
      <w:r>
        <w:t xml:space="preserve">2.3 Tổng quan thực nghiệm</w:t>
      </w:r>
    </w:p>
    <w:bookmarkStart w:id="31" w:name="X06f0ff9f981ed4ea574df3cd600adeb68f65e69"/>
    <w:p>
      <w:pPr>
        <w:pStyle w:val="Heading3"/>
      </w:pPr>
      <w:r>
        <w:t xml:space="preserve">2.3.1 Giai đoạn phát triển của các nghiên cứu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(inverted-U)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w:t>
      </w:r>
    </w:p>
    <w:p>
      <w:pPr>
        <w:pStyle w:val="BodyText"/>
      </w:pPr>
      <w:r>
        <w:t xml:space="preserve">Giai đoạn thứ ba (từ cuối thập niên 2000 đến hiện tại) chuyển trọng tâm sang nghiên cứu các yếu tố điều tiết (moderators), tức điều kiện bối cảnh làm thay đổi hình dạng, cường độ, hoặc dấu của mối quan hệ I–P. Các moderator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kết quả quốc tế hóa phụ thuộc vào điều kiện cụ thể của doanh nghiệp, ngành và quốc gia (Arte &amp; Larimo, 2022).</w:t>
      </w:r>
    </w:p>
    <w:bookmarkEnd w:id="31"/>
    <w:bookmarkStart w:id="32" w:name="bằng-chứng-meta-analytic"/>
    <w:p>
      <w:pPr>
        <w:pStyle w:val="Heading3"/>
      </w:pPr>
      <w:r>
        <w:t xml:space="preserve">2.3.2 Bằng chứng meta-analytic</w:t>
      </w:r>
    </w:p>
    <w:p>
      <w:pPr>
        <w:pStyle w:val="FirstParagraph"/>
      </w:pPr>
      <w:r>
        <w:t xml:space="preserve">Bước tiến phương pháp luận quan trọng nhất của giai đoạn gần đây là sự xuất hiện của các meta-analysis về quan hệ I–P, cho phép tổng hợp và định lượng hóa kết quả từ hàng trăm nghiên cứu thực nghiệm riêng lẻ và do đó kiểm soát được nhiễu do từng mẫu nghiên cứu đơn lẻ gây ra. Khi đặt cạnh nhau, các meta-analysis chính phác họa một bức tranh nhất quán ở kết luận tổng thể nhưng phức tạp ở cơ chế.</w:t>
      </w:r>
    </w:p>
    <w:p>
      <w:pPr>
        <w:pStyle w:val="BodyText"/>
      </w:pPr>
      <w:r>
        <w:t xml:space="preserve">Bausch và Krist (2007) phân tích 65 nghiên cứu và tìm thấy tác động tổng hợp dương nhưng nhỏ (r</w:t>
      </w:r>
      <w:r>
        <w:t xml:space="preserve"> </w:t>
      </w:r>
      <m:oMath>
        <m:r>
          <m:rPr>
            <m:sty m:val="p"/>
          </m:rPr>
          <m:t>≈</m:t>
        </m:r>
      </m:oMath>
      <w:r>
        <w:t xml:space="preserve"> </w:t>
      </w:r>
      <w:r>
        <w:t xml:space="preserve">0,10), đồng thời xác nhận rằng mức độ dị biệt (heterogeneity) giữa các nghiên cứu rất cao với I² &gt; 80%, hàm ý rằng các moderator là nguồn giải thích chủ yếu cho sự khác biệt. Kirca et al. (2012) mở rộng pool lên 154 mẫu và tìm thấy tác động tổng hợp tương tự, đồng thời xác nhận vai trò của bối cảnh quốc gia và ngành. Marano et al. (2016), nghiên cứu meta-analytic toàn diện nhất trong các nghiên cứu với 170 nghiên cứu và 32 quốc gia, tìm thấy r</w:t>
      </w:r>
      <w:r>
        <w:t xml:space="preserve"> </w:t>
      </w:r>
      <m:oMath>
        <m:r>
          <m:rPr>
            <m:sty m:val="p"/>
          </m:rPr>
          <m:t>≈</m:t>
        </m:r>
      </m:oMath>
      <w:r>
        <w:t xml:space="preserve"> </w:t>
      </w:r>
      <w:r>
        <w:t xml:space="preserve">0,07–0,13 và chứng minh rằng thể chế quốc gia nguồn là moderator quan trọng nhất trong tất cả các biến bối cảnh được kiểm định. Wu et al. (2022) cập nhật với pool 218 effect sizes tập trung vào các emerging market multinationals (EMNEs) và tìm thấy mô hình moderator tương tự. Tại hội nghị ICBEF 2024, kết quả sơ bộ từ pool nghiên cứu về châu Á với k = 113 effect-size units cho thấy r = 0,07, nhất quán với các meta-analyses toàn cầu nhưng cụ thể hơn về bối cảnh châu Á. Luận án này mở rộng pool đó thông qua Nghiên cứu P6, một meta-analysis ba tầng (three-level MARA) với k = 238 nghiên cứu và K = 288 effect sizes từ châu Á và Thái Bình Dương, ước lượng r̄ = 0,074 [KTC 95%: 0,060; 0,088], I² = 62,4%, Q_M(ICRV) = 17,35 (df = 4, p = ,002). Kết quả này xác nhận tác động tổng hợp dương nhỏ nhưng bền vững, đồng thời chứng minh rằng gradient ICRV, turning point giảm dần khi chuyển từ thể chế yếu sang thể chế mạnh, là moderator thực chất của mối quan hệ I–P trong bối cảnh châu Á (Do &amp; Phan, 2026c).</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moderator bối cảnh, đặc biệt là thể chế quốc gia, năng lực doanh nghiệp, và đặc điểm ngành, là những nguồn giải thích chính cho sự khác biệt giữa các nghiên cứu. Đây là luận điểm cơ bản biện hộ cho sự cần thiết của một khung giải thích đa tầng.</w:t>
      </w:r>
    </w:p>
    <w:bookmarkEnd w:id="32"/>
    <w:bookmarkStart w:id="33" w:name="X2dab31dc90ae94a491c7104c141028484c6eeaa"/>
    <w:p>
      <w:pPr>
        <w:pStyle w:val="Heading3"/>
      </w:pPr>
      <w:r>
        <w:t xml:space="preserve">2.3.3 Bối cảnh châu Á và các nền kinh tế mới nổi</w:t>
      </w:r>
    </w:p>
    <w:p>
      <w:pPr>
        <w:pStyle w:val="FirstParagraph"/>
      </w:pPr>
      <w:r>
        <w:t xml:space="preserve">Châu Á là bối cảnh vừa quan trọng vừa đặc thù đối với nghiên cứu I–P, vì hai đặc điểm khó tìm thấy đồng thời ở bất kỳ khu vực nào khác.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Pacific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Do và Phan (2026a)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phát hiện được gọi là</w:t>
      </w:r>
      <w:r>
        <w:t xml:space="preserve"> </w:t>
      </w:r>
      <w:r>
        <w:t xml:space="preserve">“</w:t>
      </w:r>
      <w:r>
        <w:t xml:space="preserve">hiệu ứng lá chắn số</w:t>
      </w:r>
      <w:r>
        <w:t xml:space="preserve">”</w:t>
      </w:r>
      <w:r>
        <w:t xml:space="preserve"> </w:t>
      </w:r>
      <w:r>
        <w:t xml:space="preserve">(digital shield effect). Do và Phan (2026g) kiểm định cụ thể với dữ liệu doanh nghiệp Trung Quốc và tìm thấy cấu trúc cubic inverted-U với ngưỡng FSTS tối ưu khoảng 47,8%, tức điểm turning point khá thấp so với các nền kinh tế tiên tiến. Luận án kế thừa và mở rộng các kết quả này trên pool đầy đủ 49 nền kinh tế (bao gồm 9 nền kinh tế đảo nhỏ Thái Bình Dương).</w:t>
      </w:r>
    </w:p>
    <w:p>
      <w:pPr>
        <w:pStyle w:val="BodyText"/>
      </w:pPr>
      <w:r>
        <w:t xml:space="preserve">Phần lớn các nghiên cứu về I–P trong bối cảnh châu Á tập trung vào Nhật Bản, Hàn Quốc, Đài Loan, và Trung Quốc, trong khi các nền kinh tế chuyển đổi như Việt Nam, Campuchia, Bangladesh, và đặc biệt là các Pacific SIDS, về cơ bản thiếu vắng trong các nghiên cứu.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33"/>
    <w:bookmarkStart w:id="34" w:name="X732d7d1b7e90f1451ce2bd542fd674aab0604d1"/>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r>
        <w:pict>
          <v:rect style="width:0;height:1.5pt" o:hralign="center" o:hrstd="t" o:hr="t"/>
        </w:pict>
      </w:r>
    </w:p>
    <w:bookmarkEnd w:id="34"/>
    <w:bookmarkEnd w:id="35"/>
    <w:bookmarkStart w:id="36"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moderator từ một lý thuyết đơn lẻ, không có khả năng giải thích đồng thời heterogeneity do bối cảnh thể chế, năng lực doanh nghiệp, và đặc điểm lãnh đạo tạo ra. Không có lý thuyết đơn lẻ nào, dù là Uppsala, RBV, Institutional Theory, hay Upper Echelons Theory,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các nghiên cứu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các nghiên cứu về quan hệ I–P vẫn thiếu bằng chứng đa quốc gia bao quát đủ rộng để kiểm định khả năng tổng quát hóa của các lý thuyết. Pool 17 nước của Do và Phan (2026a) là baseline lớn nhất hiện có trong các nghiên cứu về châu Á, nhưng vẫn chưa bao gồm các nền kinh tế frontier và Pacific SIDS, những địa điểm cực kỳ quan trọng để kiểm định boundary conditions. Thiếu vắng các bằng chứng này khiến cho các lý thuyết về I–P, vốn được xây dựng chủ yếu trên dữ liệu từ Nhật Bản, Hàn Quốc, và các nền kinh tế tiên tiến,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(Context-Contingent Digital-and-Capability Model),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Kiểm định CDCM trên 49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Literature hiện tại chưa có bằng chứng kiểm định đồng thời năm moderator chính (TCI, DAI, kinh nghiệm quản trị, giới tính nhà quản trị, ICRV) trong một mô hình hồi quy đơn lẻ trên dữ liệu đa quốc gia quy mô lớn. Do và Phan (2026d), Nghiên cứu P7, lấp đầy khoảng trống này bằng dữ liệu WBES từ 49 nền kinh tế (N = 84.910–91.982 doanh nghiệp, 102 country-year waves), bao phủ toàn bộ gradient ICRV từ nhóm tiên tiến đến SIDS, kiểm định đồng thời H1–H6 với country-year fixed effects. Kết quả turning point trung bình ~36% FSTS tại P7, thấp hơn P3 Vietnam (~40%) và P5 Trung Quốc (~49%), xác nhận ICRV điều tiết vị trí turning point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Kiểm định điều kiện biên FIP tại Pacific SIDS.</w:t>
      </w:r>
      <w:r>
        <w:t xml:space="preserve"> </w:t>
      </w:r>
      <w:r>
        <w:t xml:space="preserve">Khoảng trống thứ ba không chỉ đòi hỏi mở rộng phạm vi địa lý mà còn đòi hỏi kiểm định điều kiện biên lý thuyết cực trị: liệu có tồn tại bối cảnh nơi inverted-U hoàn toàn sụp đổ thành quan hệ âm đơn điệu? Không có nghiên cứu nào trong các nghiên cứu I–P hiện tại kiểm định</w:t>
      </w:r>
      <w:r>
        <w:t xml:space="preserve"> </w:t>
      </w:r>
      <w:r>
        <w:t xml:space="preserve">“</w:t>
      </w:r>
      <w:r>
        <w:t xml:space="preserve">Forced Internationalization Penalty</w:t>
      </w:r>
      <w:r>
        <w:t xml:space="preserve">”</w:t>
      </w:r>
      <w:r>
        <w:t xml:space="preserve"> </w:t>
      </w:r>
      <w:r>
        <w:t xml:space="preserve">(FIP), bối cảnh mà quốc tế hóa là gánh nặng sinh tồn, không phải lựa chọn chiến lược dựa trên lợi thế cạnh tranh. Do và Phan (2026b), Nghiên cứu P8, kiểm định H1b bằng dữ liệu WBES từ các nền kinh tế Pacific SIDS (Fiji, Tonga, Solomon Islands, Vanuatu, Samoa), nơi ba điều kiện cấu trúc cơ bản của inverted-U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36"/>
    <w:bookmarkStart w:id="45" w:name="mô-hình-nghiên-cứu-và-hệ-giả-thuyết"/>
    <w:p>
      <w:pPr>
        <w:pStyle w:val="Heading2"/>
      </w:pPr>
      <w:r>
        <w:t xml:space="preserve">2.5 Mô hình nghiên cứu và hệ giả thuyết</w:t>
      </w:r>
    </w:p>
    <w:bookmarkStart w:id="37"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sub-regime theo gradient từ Advanced Innovation-Driven đến Pacific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(Do &amp; Phan, 2026b).</w:t>
      </w:r>
    </w:p>
    <w:p>
      <w:pPr>
        <w:pStyle w:val="BodyText"/>
      </w:pPr>
      <w:r>
        <w:t xml:space="preserve">Tầng tổ chức, năng lực doanh nghiệp, bao gồm TCI và DAI như hai moderator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turning point sang phải và kéo dài giai đoạn lợi ích dương của quan hệ I–P.</w:t>
      </w:r>
    </w:p>
    <w:p>
      <w:pPr>
        <w:pStyle w:val="BodyText"/>
      </w:pPr>
      <w:r>
        <w:t xml:space="preserve">Tầng cá nhân, đặc điểm nhà quản trị cấp cao, bao gồm kinh nghiệm quản trị và giới tính nhà quản trị như các moderator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(turning point của inverted-U) không cố định theo thời gian mà có thể thay đổi khi bối cảnh thể chế và năng lực doanh nghiệp thay đổi theo chiều dọc, đặc biệt rõ rệt ở các nền kinh tế chuyển đổi nhanh như Trung Quốc.</w:t>
      </w:r>
    </w:p>
    <w:bookmarkEnd w:id="37"/>
    <w:bookmarkStart w:id="38"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turning point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inverted-U ban đầu của Hitt et al. (1997).</w:t>
      </w:r>
    </w:p>
    <w:bookmarkEnd w:id="38"/>
    <w:bookmarkStart w:id="39" w:name="X4428ed197d44616af17a87137bdb8f71ba3b36a"/>
    <w:p>
      <w:pPr>
        <w:pStyle w:val="Heading3"/>
      </w:pPr>
      <w:r>
        <w:t xml:space="preserve">2.5.2b Điều kiện biên H1b: Gánh nặng quốc tế hóa bắt buộc (FIP) tại Pacific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Pacific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Pacific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turning point trong phạm vi dữ liệu, phản ánh gánh nặng quốc tế hóa bắt buộc (Forced Internationalization Penalty,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39"/>
    <w:bookmarkStart w:id="40" w:name="X4e283c765855921a9a0bf70a9d0a980f4bd502f"/>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turning point. Cơ sở lý thuyết bao gồm Barney (1991), Teece et al. (1997), và Bhandari et al. (2023).</w:t>
      </w:r>
    </w:p>
    <w:bookmarkEnd w:id="40"/>
    <w:bookmarkStart w:id="41"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41"/>
    <w:bookmarkStart w:id="42" w:name="X23e235aa1540adf65664378accbc0b6a13fdffd"/>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w:t>
      </w:r>
    </w:p>
    <w:bookmarkEnd w:id="42"/>
    <w:bookmarkStart w:id="43" w:name="X1090b4891c9abf48d7aab0f24d22e9d66d1b02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w:t>
      </w:r>
      <w:r>
        <w:t xml:space="preserve"> </w:t>
      </w:r>
      <w:r>
        <w:t xml:space="preserve">“</w:t>
      </w:r>
      <w:r>
        <w:t xml:space="preserve">lá chắn số</w:t>
      </w:r>
      <w:r>
        <w:t xml:space="preserve">”</w:t>
      </w:r>
      <w:r>
        <w:t xml:space="preserve"> </w:t>
      </w:r>
      <w:r>
        <w:t xml:space="preserve">(digital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43"/>
    <w:bookmarkStart w:id="44" w:name="Xef57ba07d4a873fdbd0fe03fe237e0edc9cc461"/>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cụ thể là vị trí của điểm turning point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Do và Phan (2026g) về sự ổn định tương đối của turning point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44"/>
    <w:bookmarkEnd w:id="45"/>
    <w:bookmarkStart w:id="46"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Uppsala, RBV, Institutional Theory, và Upper Echelons Theory, cùng với lớp mở rộng Digital Capability Lens, xác định vai trò của từng lý thuyết trong khung giải thích tổng thể của luận án.</w:t>
      </w:r>
    </w:p>
    <w:p>
      <w:pPr>
        <w:pStyle w:val="BodyText"/>
      </w:pPr>
      <w:r>
        <w:t xml:space="preserve">Tổng quan thực nghiệm cho thấy các nghiên cứu I–P đã phát triển qua ba giai đoạn, từ tuyến tính dương đến phi tuyến đến tập trung vào moderators; các meta-analyses nhất quán cho thấy tác động tổng hợp là dương nhưng nhỏ với I² &gt; 80%, đòi hỏi cách tiếp cận moderator-centric; và bối cảnh châu Á, đặc biệt là các nền kinh tế frontier và SIDS, đang thiếu đại diện nghiêm trọng trong các nghiên cứu.</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bookmarkEnd w:id="46"/>
    <w:bookmarkEnd w:id="4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2026-05-25T07:46:14Z</dcterms:created>
  <dcterms:modified xsi:type="dcterms:W3CDTF">2026-05-25T07:46:14Z</dcterms:modified>
</cp:coreProperties>
</file>

<file path=docProps/custom.xml><?xml version="1.0" encoding="utf-8"?>
<Properties xmlns="http://schemas.openxmlformats.org/officeDocument/2006/custom-properties" xmlns:vt="http://schemas.openxmlformats.org/officeDocument/2006/docPropsVTypes"/>
</file>