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Cấu trúc chương gồm sáu phần: (i) bàn luận kết quả theo khung lý thuyết; (ii) so sánh với nghiên cứu trước; (iii) đóng góp lý thuyết; (iv) đề xuất chính sách và quản trị; (v) hạn chế và hướng nghiên cứu tương lai; và (vi) kết luận tổng thể của luận án.</w:t>
      </w:r>
    </w:p>
    <w:p>
      <w:r>
        <w:pict>
          <v:rect style="width:0;height:1.5pt" o:hralign="center" o:hrstd="t" o:hr="t"/>
        </w:pict>
      </w:r>
    </w:p>
    <w:bookmarkEnd w:id="21"/>
    <w:bookmarkStart w:id="27" w:name="Xff8cef3ed320f9cf6f3fba4ff558bfed3af19c6"/>
    <w:p>
      <w:pPr>
        <w:pStyle w:val="Heading2"/>
      </w:pPr>
      <w:r>
        <w:t xml:space="preserve">5.1 Bàn luận kết quả theo khung lý thuyết CDCM</w:t>
      </w:r>
    </w:p>
    <w:bookmarkStart w:id="22" w:name="X87949b622680195c8f5649c31ec800d0d4afb82"/>
    <w:p>
      <w:pPr>
        <w:pStyle w:val="Heading3"/>
      </w:pPr>
      <w:r>
        <w:t xml:space="preserve">5.1.1 ICRV Gradient,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gradient ICRV (Biến thiên chế độ bối cảnh thể chế, Institutional Context Regime Variation)</w:t>
      </w:r>
      <w:r>
        <w:t xml:space="preserve">: cùng một mức độ quốc tế hóa (FSTS) mang lại hiệu quả rất khác nhau tùy thuộc vào chế độ thể chế mà doanh nghiệp hoạt động. Bằng chứng từ hai nguồn độc lập, phân tích meta-analytic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quan sát từ 49 nền kinh tế), đều chỉ đến cùng một kết luận: điểm uốn (turning point) của quan hệ I-P</w:t>
      </w:r>
      <w:r>
        <w:t xml:space="preserve"> </w:t>
      </w:r>
      <w:r>
        <w:rPr>
          <w:bCs/>
          <w:b/>
        </w:rPr>
        <w:t xml:space="preserve">giảm dần</w:t>
      </w:r>
      <w:r>
        <w:t xml:space="preserve"> </w:t>
      </w:r>
      <w:r>
        <w:t xml:space="preserve">từ SIDS/Frontier (~55% FSTS) xuống Emerging, Upper-middle, Advanced Resource, và Advanced Innovation (~28% FSTS). Hay nói cách khác, nền kinh tế thể chế mạnh hơn đạt đỉnh hiệu quả xuất khẩu tại mức FSTS thấp hơn, doanh nghiệp không cần quốc tế hóa sâu để khai thác lợi thế cạnh tranh khi thể chế hỗ trợ đã vận hành tốt.</w:t>
      </w:r>
    </w:p>
    <w:p>
      <w:pPr>
        <w:pStyle w:val="BodyText"/>
      </w:pPr>
      <w:r>
        <w:t xml:space="preserve">Kết quả này xác nhận H5 và tầng thể chế của khung lý thuyết CDCM theo một cách thuyết phục nhất: không phải chỉ một moderator đơn lẻ mà là</w:t>
      </w:r>
      <w:r>
        <w:t xml:space="preserve"> </w:t>
      </w:r>
      <w:r>
        <w:rPr>
          <w:bCs/>
          <w:b/>
        </w:rPr>
        <w:t xml:space="preserve">cả một chế độ thể chế</w:t>
      </w:r>
      <w:r>
        <w:t xml:space="preserve">, được vận hành hóa thành sáu sub-regime ICRV, xác định điều kiện biên cho quan hệ I-P. Institutional Theory của North (1990) và Khanna và Palepu (2010) dự đoán rằng thể chế định hình chi phí giao dịch và cấu trúc khuyến khích; kết quả ICRV gradient là biểu hiện thực nghiệm của cơ chế này ở quy mô 49 nền kinh tế châu Á và Thái Bình Dương (P7).</w:t>
      </w:r>
    </w:p>
    <w:p>
      <w:pPr>
        <w:pStyle w:val="BodyText"/>
      </w:pPr>
      <w:r>
        <w:t xml:space="preserve">Về mặt lý thuyết, gradient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cũng có nghĩa là hệ sinh thái dịch vụ hỗ trợ (logistics, tài chính thương mại, tư vấn pháp lý quốc tế) phát triển, làm giảm gánh nặng điều phối nội bộ của doanh nghiệp khi mở rộng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Technological Capability Index (TCI) nhất quán cho thấy</w:t>
      </w:r>
      <w:r>
        <w:t xml:space="preserve"> </w:t>
      </w:r>
      <w:r>
        <w:rPr>
          <w:bCs/>
          <w:b/>
        </w:rPr>
        <w:t xml:space="preserve">hiệu ứng nâng mặt bằng năng suất dương</w:t>
      </w:r>
      <w:r>
        <w:t xml:space="preserve"> </w:t>
      </w:r>
      <w:r>
        <w:t xml:space="preserve">trong tất cả các mẫu (Việt Nam P3, Trung Quốc P5, toàn mẫu P7: ~41% tăng năng suất cho mỗi đơn vị độ lệch chuẩn TCI). Tuy nhiên, TCI chỉ</w:t>
      </w:r>
      <w:r>
        <w:t xml:space="preserve"> </w:t>
      </w:r>
      <w:r>
        <w:rPr>
          <w:bCs/>
          <w:b/>
        </w:rPr>
        <w:t xml:space="preserve">điều tiết hình dạng đường cong I-P</w:t>
      </w:r>
      <w:r>
        <w:t xml:space="preserve"> </w:t>
      </w:r>
      <w:r>
        <w:t xml:space="preserve">tại bối cảnh quốc gia cụ thể (P3 Việt Nam, môi trường chuyển đổi với phân mảnh thể chế tạo điều kiện cho TCI reshaping hiệu ứng), không phổ quát trên toàn mẫu 49 nền kinh tế (P7: tương tác FSTS×TCI và</w:t>
      </w:r>
      <w:r>
        <w:t xml:space="preserve"> </w:t>
      </w:r>
      <m:oMath>
        <m:sSup>
          <m:e>
            <m:r>
              <m:rPr>
                <m:nor/>
                <m:sty m:val="p"/>
              </m:rPr>
              <m:t>FSTS</m:t>
            </m:r>
          </m:e>
          <m:sup>
            <m:r>
              <m:t>2</m:t>
            </m:r>
          </m:sup>
        </m:sSup>
      </m:oMath>
      <w:r>
        <w:t xml:space="preserve">×TCI đều NS). H2 được</w:t>
      </w:r>
      <w:r>
        <w:t xml:space="preserve"> </w:t>
      </w:r>
      <w:r>
        <w:rPr>
          <w:bCs/>
          <w:b/>
        </w:rPr>
        <w:t xml:space="preserve">xác nhận một phần</w:t>
      </w:r>
      <w:r>
        <w:t xml:space="preserve">: TCI là năng lực nền tảng phổ quát, nhưng vai trò uốn đường cong I-P phụ thuộc bối cảnh thể chế. Điều này xác nhận vai trò của TCI là</w:t>
      </w:r>
      <w:r>
        <w:t xml:space="preserve"> </w:t>
      </w:r>
      <w:r>
        <w:rPr>
          <w:bCs/>
          <w:b/>
        </w:rPr>
        <w:t xml:space="preserve">năng lực nền tảng</w:t>
      </w:r>
      <w:r>
        <w:t xml:space="preserve"> </w:t>
      </w:r>
      <w:r>
        <w:t xml:space="preserve">(foundational capability) trong khung CDCM: doanh nghiệp có năng lực công nghệ sâu hơn, được đo bằng việc tiếp cận công nghệ nước ngoài, chi tiêu R&amp;D, đổi mới sản phẩm và chứng nhận chất lượng, tạo ra giá trị cao hơn từ cùng một mức độ quốc tế hóa.</w:t>
      </w:r>
    </w:p>
    <w:p>
      <w:pPr>
        <w:pStyle w:val="BodyText"/>
      </w:pPr>
      <w:r>
        <w:t xml:space="preserve">Cơ chế lý thuyết đằng sau kết quả này bắt nguồn từ Resource-Based View (Barney, 1991): TCI là nguồn lực VRIN (có giá trị, hiếm, khó sao chép, khó thay thế), do đó tạo ra lợi thế cạnh tranh bền vững ngay cả khi doanh nghiệp mở rộng ra thị trường nước ngoài với mức độ bất định cao. Năng lực công nghệ cũng tạo ra absorptive capacity (Cohen &amp; Levinthal, 1990), khả năng hấp thu và tích hợp tri thức từ thị trường nước ngoài, giúp doanh nghiệp học hỏi hiệu quả hơn trong quá trình quốc tế hóa, nhất quán với learning loop của Uppsala model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Digital Adoption Index (DAI) phức tạp hơn và có nhiều sắc thái hơn so với TCI. Trên toàn mẫu P7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khoảng 17% lợi thế năng suất cho doanh nghiệp có website. Quan trọng hơn, cả hai tương tác điều tiết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Kết quả tương tác DAI×ICRV (</w:t>
      </w:r>
      <m:oMath>
        <m:r>
          <m:t>p</m:t>
        </m:r>
        <m:r>
          <m:rPr>
            <m:sty m:val="p"/>
          </m:rPr>
          <m:t>=</m:t>
        </m:r>
        <m:r>
          <m:rPr>
            <m:sty m:val="p"/>
          </m:rPr>
          <m:t>,</m:t>
        </m:r>
        <m:r>
          <m:t>012</m:t>
        </m:r>
      </m:oMath>
      <w:r>
        <w:t xml:space="preserve">) xác nhận DAI phát huy hiệu quả mạnh hơn tại các bối cảnh thể chế yếu hơn, nhất quán với lập luận CDCM rằng DAI bù đắp cho sự vắng mặt của hạ tầng thể chế (Nhóm IV-V), thay vì chỉ khuếch đại lợi thế đã có tại Nhóm I. Tại Singapore (P4, DAI Tier-1+2), DAI phát huy rõ nhất dưới dạng amplification effect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Tại Việt Nam (P3, Tier-1 only, IV-estimated), DAI null phản ánh hạn chế đo lường và selection bias hơn là bác bỏ H3.</w:t>
      </w:r>
    </w:p>
    <w:p>
      <w:pPr>
        <w:pStyle w:val="BodyText"/>
      </w:pPr>
      <w:r>
        <w:t xml:space="preserve">Kết quả tổng hợp hỗ trợ lập luận trong khung CDCM rằng DAI là</w:t>
      </w:r>
      <w:r>
        <w:t xml:space="preserve"> </w:t>
      </w:r>
      <w:r>
        <w:rPr>
          <w:bCs/>
          <w:b/>
        </w:rPr>
        <w:t xml:space="preserve">nguồn lực tình huống</w:t>
      </w:r>
      <w:r>
        <w:t xml:space="preserve"> </w:t>
      </w:r>
      <w:r>
        <w:t xml:space="preserve">(situational resource) chứ không phải năng lực nền tảng: cơ chế cụ thể của nó (compression vs amplification) phụ thuộc vào điều kiện môi trường (thể chế, cơ sở hạ tầng số), nhưng bản thân hiệu ứng DAI là</w:t>
      </w:r>
      <w:r>
        <w:t xml:space="preserve"> </w:t>
      </w:r>
      <w:r>
        <w:rPr>
          <w:bCs/>
          <w:b/>
        </w:rPr>
        <w:t xml:space="preserve">phổ quát</w:t>
      </w:r>
      <w:r>
        <w:t xml:space="preserve"> </w:t>
      </w:r>
      <w:r>
        <w:t xml:space="preserve">trên toàn mẫu đa bối cảnh. Đây là điểm phân biệt quan trọng giữa TCI và DAI trong đóng góp lý thuyết của luận án.</w:t>
      </w:r>
    </w:p>
    <w:p>
      <w:pPr>
        <w:pStyle w:val="BodyText"/>
      </w:pPr>
      <w:r>
        <w:t xml:space="preserve">Cần lưu ý rằng kết quả null về DAI tại Việt Nam (P3) và các bối cảnh thấp hơn không nhất thiết bác bỏ H3, mà còn phản ánh hạn chế đo lường: Tier-1 DAI (website, email, online sales) chưa nắm bắt được chiều sâu của năng lực số. Khi DAI được đo bằng Tier-1+2 (bổ sung e-payment, e-supplier) như tại Singapore, hiệu ứng điều tiết xuất hiện rõ ràng hơn. Quan trọng hơn, tất cả đo lường DAI trong luận án đều là</w:t>
      </w:r>
      <w:r>
        <w:t xml:space="preserve"> </w:t>
      </w:r>
      <w:r>
        <w:rPr>
          <w:bCs/>
          <w:b/>
        </w:rPr>
        <w:t xml:space="preserve">chỉ số chấp nhận số tĩnh</w:t>
      </w:r>
      <w:r>
        <w:t xml:space="preserve"> </w:t>
      </w:r>
      <w:r>
        <w:t xml:space="preserve">(static digital adoption index) dựa trên dữ liệu WBES tại một thời điểm, không phải</w:t>
      </w:r>
      <w:r>
        <w:t xml:space="preserve"> </w:t>
      </w:r>
      <w:r>
        <w:t xml:space="preserve">“</w:t>
      </w:r>
      <w:r>
        <w:t xml:space="preserve">dynamic digital capability</w:t>
      </w:r>
      <w:r>
        <w:t xml:space="preserve">”</w:t>
      </w:r>
      <w:r>
        <w:t xml:space="preserve"> </w:t>
      </w:r>
      <w:r>
        <w:t xml:space="preserve">theo nghĩa của dynamic capabilities theory (Teece et al., 1997) vì dữ liệu WBES không có đủ thang đo để đo lường tính động của năng lực số.</w:t>
      </w:r>
    </w:p>
    <w:p>
      <w:pPr>
        <w:pStyle w:val="BodyText"/>
      </w:pPr>
      <w:r>
        <w:t xml:space="preserve">Một giải thích bổ sung từ Institutional Theory: ở các bối cảnh ICRV thấp với nhiều</w:t>
      </w:r>
      <w:r>
        <w:t xml:space="preserve"> </w:t>
      </w:r>
      <w:r>
        <w:t xml:space="preserve">“</w:t>
      </w:r>
      <w:r>
        <w:t xml:space="preserve">institutional voids</w:t>
      </w:r>
      <w:r>
        <w:t xml:space="preserve">”</w:t>
      </w:r>
      <w:r>
        <w:t xml:space="preserve"> </w:t>
      </w:r>
      <w:r>
        <w:t xml:space="preserve">(Khanna &amp; Palepu, 2010), các doanh nghiệp xuất khẩu phụ thuộc vào DAI nhiều hơn như một cơ chế bù đắp cho thiếu hụt hạ tầng thể chế. Bằng chứng: DAI×ICRV (p = 0,012) trong P7 cho thấy DAI</w:t>
      </w:r>
      <w:r>
        <w:t xml:space="preserve"> </w:t>
      </w:r>
      <w:r>
        <w:rPr>
          <w:bCs/>
          <w:b/>
        </w:rPr>
        <w:t xml:space="preserve">mạnh hơn</w:t>
      </w:r>
      <w:r>
        <w:t xml:space="preserve"> </w:t>
      </w:r>
      <w:r>
        <w:t xml:space="preserve">tại thể chế yếu,</w:t>
      </w:r>
      <w:r>
        <w:t xml:space="preserve"> </w:t>
      </w:r>
      <w:r>
        <w:t xml:space="preserve">“</w:t>
      </w:r>
      <w:r>
        <w:t xml:space="preserve">digital shield effect</w:t>
      </w:r>
      <w:r>
        <w:t xml:space="preserve">”</w:t>
      </w:r>
      <w:r>
        <w:t xml:space="preserve"> </w:t>
      </w:r>
      <w:r>
        <w:t xml:space="preserve">phát huy mạnh nhất khi nền tảng thể chế còn thiếu hụt, không phải khi thể chế đã hoàn thiện.</w:t>
      </w:r>
    </w:p>
    <w:bookmarkEnd w:id="24"/>
    <w:bookmarkStart w:id="25" w:name="X9c0cd9664cda47af8ea782aa1697b3fd1384e63"/>
    <w:p>
      <w:pPr>
        <w:pStyle w:val="Heading3"/>
      </w:pPr>
      <w:r>
        <w:t xml:space="preserve">5.1.4 Đặc Điểm Nhà Quản Trị là Moderator Cá Nhân, Hỗ trợ có điều kiện H4</w:t>
      </w:r>
    </w:p>
    <w:p>
      <w:pPr>
        <w:pStyle w:val="FirstParagraph"/>
      </w:pPr>
      <w:r>
        <w:t xml:space="preserve">Kết quả về H4 từ P7 cho thấy đặc điểm nhà quản trị cấp cao có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cho thấy hiệu ứng tích cực lên hiệu quả I-P trong toàn mẫu, doanh nghiệp có top manager nữ đạt hiệu quả cao hơn từ quốc tế hóa, phù hợp với Upper Echelons Theory (Hambrick &amp; Mason, 1984) rằng đặc điểm cấp lãnh đạo định hình cách thức tổ chức nhận diện và khai thác cơ hội quốc tế.</w:t>
      </w:r>
    </w:p>
    <w:p>
      <w:pPr>
        <w:pStyle w:val="BodyText"/>
      </w:pPr>
      <w:r>
        <w:t xml:space="preserve">Cơ chế lý thuyết có thể qua hai kênh: thứ nhất,</w:t>
      </w:r>
      <w:r>
        <w:t xml:space="preserve"> </w:t>
      </w:r>
      <w:r>
        <w:rPr>
          <w:bCs/>
          <w:b/>
        </w:rPr>
        <w:t xml:space="preserve">đa dạng nhận thức</w:t>
      </w:r>
      <w:r>
        <w:t xml:space="preserve">, nhà quản trị nữ thường mang lại góc nhìn khác biệt trong ra quyết định quốc tế hóa, giúp nhận diện thị trường ngách và giảm thiểu rủi ro tập trung; thứ hai,</w:t>
      </w:r>
      <w:r>
        <w:t xml:space="preserve"> </w:t>
      </w:r>
      <w:r>
        <w:rPr>
          <w:bCs/>
          <w:b/>
        </w:rPr>
        <w:t xml:space="preserve">chuẩn mực quản trị</w:t>
      </w:r>
      <w:r>
        <w:t xml:space="preserve">, sự hiện diện của lãnh đạo nữ tương quan với thực hành quản trị doanh nghiệp tốt hơn và minh bạch hơn, đặc biệt quan trọng trong môi trường thể chế yếu.</w:t>
      </w:r>
    </w:p>
    <w:p>
      <w:pPr>
        <w:pStyle w:val="BodyText"/>
      </w:pPr>
      <w:r>
        <w:t xml:space="preserve">Tuy nhiên, cần lưu ý rằng tác động này được phát hiện ở cấp pooled toàn mẫu (P7) và cần kiểm định riêng biệt theo từng bối cảnh ICRV để hiểu đầy đủ điều kiện biên của moderator cấp quản trị. Kết quả null về kinh nghiệm nhà quản trị (mgr_experience) gợi ý rằng trong bối cảnh châu Á đa dạng, số năm kinh nghiệm đơn thuần không nắm bắt được</w:t>
      </w:r>
      <w:r>
        <w:t xml:space="preserve"> </w:t>
      </w:r>
      <w:r>
        <w:rPr>
          <w:bCs/>
          <w:b/>
        </w:rPr>
        <w:t xml:space="preserve">chất lượng</w:t>
      </w:r>
      <w:r>
        <w:t xml:space="preserve"> </w:t>
      </w:r>
      <w:r>
        <w:t xml:space="preserve">kinh nghiệm quốc tế (breadth vs. depth), một hạn chế đo lường trong WBES cần được khắc phục trong nghiên cứu tương lai.</w:t>
      </w:r>
    </w:p>
    <w:bookmarkEnd w:id="25"/>
    <w:bookmarkStart w:id="26" w:name="Xfdc4f05762204c1e9501761a1ebcb843f9171c3"/>
    <w:p>
      <w:pPr>
        <w:pStyle w:val="Heading3"/>
      </w:pPr>
      <w:r>
        <w:t xml:space="preserve">5.1.5 FIP là Điều Kiện Biên Cực Đoan, H1b cho SIDS</w:t>
      </w:r>
    </w:p>
    <w:p>
      <w:pPr>
        <w:pStyle w:val="FirstParagraph"/>
      </w:pPr>
      <w:r>
        <w:t xml:space="preserve">Gánh nặng quốc tế hóa bắt buộc (Forced Internationalization Penalty, FIP) tại các nền kinh tế SIDS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mạnh hơn trong exporters-only) đại diện cho điều kiện biên mà CDCM không hoàn toàn dự báo trước trong phiên bản ban đầu của khung lý thuyết. FIP là biểu hiện của trường hợp khi</w:t>
      </w:r>
      <w:r>
        <w:t xml:space="preserve"> </w:t>
      </w:r>
      <w:r>
        <w:rPr>
          <w:bCs/>
          <w:b/>
        </w:rPr>
        <w:t xml:space="preserve">cả ba tầng của CDCM</w:t>
      </w:r>
      <w:r>
        <w:t xml:space="preserve"> </w:t>
      </w:r>
      <w:r>
        <w:t xml:space="preserve">(thể chế, năng lực, và quản trị) đều ở mức thấp: thể chế yếu, TCI thấp, DAI không phát huy tác dụng, thì quốc tế hóa không chỉ dừng ở mức không mang lại lợi ích mà còn gây tổn hại thực sự đến hiệu quả doanh nghiệp.</w:t>
      </w:r>
    </w:p>
    <w:p>
      <w:pPr>
        <w:pStyle w:val="BodyText"/>
      </w:pPr>
      <w:r>
        <w:t xml:space="preserve">Quan hệ âm đơn điệu này khác về bản chất với quan hệ phi tuyến chữ U ngược: không có turning point trong phạm vi dữ liệu, nghĩa là không có mức FSTS nào mà doanh nghiệp SIDS có thể tận dụng để cải thiện hiệu quả thông qua xuất khẩu trong điều kiện hiện tại. Đây là ranh giới biên lý thuyết quan trọng cho models phi tuyến phổ quát trong các nghiên cứu I-P.</w:t>
      </w:r>
    </w:p>
    <w:p>
      <w:r>
        <w:pict>
          <v:rect style="width:0;height:1.5pt" o:hralign="center" o:hrstd="t" o:hr="t"/>
        </w:pict>
      </w:r>
    </w:p>
    <w:bookmarkEnd w:id="26"/>
    <w:bookmarkEnd w:id="27"/>
    <w:bookmarkStart w:id="31" w:name="so-sánh-với-nghiên-cứu-trước-đây"/>
    <w:p>
      <w:pPr>
        <w:pStyle w:val="Heading2"/>
      </w:pPr>
      <w:r>
        <w:t xml:space="preserve">5.2 So sánh với nghiên cứu trước đây</w:t>
      </w:r>
    </w:p>
    <w:bookmarkStart w:id="28" w:name="nhất-quán-với-baseline-icbef-2024"/>
    <w:p>
      <w:pPr>
        <w:pStyle w:val="Heading3"/>
      </w:pPr>
      <w:r>
        <w:t xml:space="preserve">5.2.1 Nhất quán với baseline ICBEF 2024</w:t>
      </w:r>
    </w:p>
    <w:p>
      <w:pPr>
        <w:pStyle w:val="FirstParagraph"/>
      </w:pPr>
      <w:r>
        <w:t xml:space="preserve">Kết quả pooled effect</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meta-analysis baseline đã công bố tại hội nghị ICBEF 2024 (Do &amp; Phan, 2024). Sự hội tụ này là đáng kể vì P6 mở rộng pool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pooled effect khi mở rộng pool nghiên cứu là bằng chứng về tính ổn định của baseline ước lượng.</w:t>
      </w:r>
    </w:p>
    <w:p>
      <w:pPr>
        <w:pStyle w:val="BodyText"/>
      </w:pPr>
      <w:r>
        <w:t xml:space="preserve">Tuy nhiên, đóng góp của P6 so với baseline không phải ở pooled</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meta đơn tầng không cung cấp. Điều này thay đổi hiểu biết về nguồn gốc của heterogeneity trong các nghiên cứu, vấn đề chủ yếu là</w:t>
      </w:r>
      <w:r>
        <w:t xml:space="preserve"> </w:t>
      </w:r>
      <w:r>
        <w:rPr>
          <w:bCs/>
          <w:b/>
        </w:rPr>
        <w:t xml:space="preserve">đo lường bên trong nghiên cứu</w:t>
      </w:r>
      <w:r>
        <w:t xml:space="preserve">, không phải sự bất đồng căn bản giữa các nghiên cứu.</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I-P. Lu và Beamish (2004) tìm turning point khoảng 60% FSTS trong mẫu doanh nghiệp Nhật Bản, trong khi Contractor et al. (2003) đề xuất S-curve ba giai đoạn. Luận án này vượt qua hai công trình đó theo ba hướng:</w:t>
      </w:r>
    </w:p>
    <w:p>
      <w:pPr>
        <w:pStyle w:val="BodyText"/>
      </w:pPr>
      <w:r>
        <w:rPr>
          <w:bCs/>
          <w:b/>
        </w:rPr>
        <w:t xml:space="preserve">Thứ nhất</w:t>
      </w:r>
      <w:r>
        <w:t xml:space="preserve">, luận án chứng minh rằng turning point</w:t>
      </w:r>
      <w:r>
        <w:t xml:space="preserve"> </w:t>
      </w:r>
      <w:r>
        <w:rPr>
          <w:bCs/>
          <w:b/>
        </w:rPr>
        <w:t xml:space="preserve">không cố định</w:t>
      </w:r>
      <w:r>
        <w:t xml:space="preserve"> </w:t>
      </w:r>
      <w:r>
        <w:t xml:space="preserve">mà phụ thuộc vào bối cảnh ICRV: từ TP</w:t>
      </w:r>
      <w:r>
        <w:t xml:space="preserve"> </w:t>
      </w:r>
      <m:oMath>
        <m:r>
          <m:rPr>
            <m:sty m:val="p"/>
          </m:rPr>
          <m:t>≈</m:t>
        </m:r>
      </m:oMath>
      <w:r>
        <w:t xml:space="preserve"> </w:t>
      </w:r>
      <w:r>
        <w:t xml:space="preserve">88,6% (Singapore, Advanced Innovation) đến TP</w:t>
      </w:r>
      <w:r>
        <w:t xml:space="preserve"> </w:t>
      </w:r>
      <m:oMath>
        <m:r>
          <m:rPr>
            <m:sty m:val="p"/>
          </m:rPr>
          <m:t>≈</m:t>
        </m:r>
      </m:oMath>
      <w:r>
        <w:t xml:space="preserve"> </w:t>
      </w:r>
      <w:r>
        <w:t xml:space="preserve">39,7% (Việt Nam pooled, Lower-mid Transition), với Trung Quốc ở mức trung gian (TP</w:t>
      </w:r>
      <w:r>
        <w:t xml:space="preserve"> </w:t>
      </w:r>
      <m:oMath>
        <m:r>
          <m:rPr>
            <m:sty m:val="p"/>
          </m:rPr>
          <m:t>≈</m:t>
        </m:r>
      </m:oMath>
      <w:r>
        <w:t xml:space="preserve"> </w:t>
      </w:r>
      <w:r>
        <w:t xml:space="preserve">48,78%). Không có một turning point phổ quát cho tất cả bối cảnh.</w:t>
      </w:r>
    </w:p>
    <w:p>
      <w:pPr>
        <w:pStyle w:val="BodyText"/>
      </w:pPr>
      <w:r>
        <w:rPr>
          <w:bCs/>
          <w:b/>
        </w:rPr>
        <w:t xml:space="preserve">Thứ hai</w:t>
      </w:r>
      <w:r>
        <w:t xml:space="preserve">, luận án xác định trường hợp biên FIP tại SIDS, không phải là S-curve hay inverted-U mà là quan hệ âm đơn điệu, điều mà cả ba-stage theory lẫn S-curve không dự báo được.</w:t>
      </w:r>
    </w:p>
    <w:p>
      <w:pPr>
        <w:pStyle w:val="BodyText"/>
      </w:pPr>
      <w:r>
        <w:rPr>
          <w:bCs/>
          <w:b/>
        </w:rPr>
        <w:t xml:space="preserve">Thứ ba</w:t>
      </w:r>
      <w:r>
        <w:t xml:space="preserve">, luận án mở rộng khung phân tích từ dữ liệu doanh nghiệp Nhật Bản/đa quốc gia sang 47-49 nền kinh tế châu Á và Thái Bình Dương, bối cảnh underrepresented trong các nghiên cứu của Lu và Beamish.</w:t>
      </w:r>
    </w:p>
    <w:bookmarkEnd w:id="29"/>
    <w:bookmarkStart w:id="30" w:name="X7d417abcca377c053c807a61872538ebbcf35bb"/>
    <w:p>
      <w:pPr>
        <w:pStyle w:val="Heading3"/>
      </w:pPr>
      <w:r>
        <w:t xml:space="preserve">5.2.3 Mở rộng Marano et al. (2016), ICRV thay thế binary institutional quality</w:t>
      </w:r>
    </w:p>
    <w:p>
      <w:pPr>
        <w:pStyle w:val="FirstParagraph"/>
      </w:pPr>
      <w:r>
        <w:t xml:space="preserve">Marano et al. (2016) là meta-analysis quan trọng nhất trong các nghiên cứu gần đây, cung cấp bằng chứng về vai trò điều tiết của home country institutions trong I-P relationship. Tuy nhiên, Marano et al. sử dụng phân loại binary (developed vs. emerging) hoặc continuous institutional quality scores.</w:t>
      </w:r>
    </w:p>
    <w:p>
      <w:pPr>
        <w:pStyle w:val="BodyText"/>
      </w:pPr>
      <w:r>
        <w:t xml:space="preserve">Luận án này mở rộng Marano et al. (2016) theo hướng</w:t>
      </w:r>
      <w:r>
        <w:t xml:space="preserve"> </w:t>
      </w:r>
      <w:r>
        <w:rPr>
          <w:bCs/>
          <w:b/>
        </w:rPr>
        <w:t xml:space="preserve">phân loại đa chiều</w:t>
      </w:r>
      <w:r>
        <w:t xml:space="preserve">: ICRV sáu sub-regime nắm bắt được sự đa dạng trong nội bộ nhóm</w:t>
      </w:r>
      <w:r>
        <w:t xml:space="preserve"> </w:t>
      </w:r>
      <w:r>
        <w:t xml:space="preserve">“</w:t>
      </w:r>
      <w:r>
        <w:t xml:space="preserve">emerging</w:t>
      </w:r>
      <w:r>
        <w:t xml:space="preserve">”</w:t>
      </w:r>
      <w:r>
        <w:t xml:space="preserve"> </w:t>
      </w:r>
      <w:r>
        <w:t xml:space="preserve">(phân biệt Upper-middle Trung Quốc với Lower-mid Việt Nam với Frontier Bangladesh và SIDS) và nhóm</w:t>
      </w:r>
      <w:r>
        <w:t xml:space="preserve"> </w:t>
      </w:r>
      <w:r>
        <w:t xml:space="preserve">“</w:t>
      </w:r>
      <w:r>
        <w:t xml:space="preserve">advanced</w:t>
      </w:r>
      <w:r>
        <w:t xml:space="preserve">”</w:t>
      </w:r>
      <w:r>
        <w:t xml:space="preserve"> </w:t>
      </w:r>
      <w:r>
        <w:t xml:space="preserve">(phân biệt Advanced Innovation Singapore với Advanced Resource GCC). Phân loại nhị phân bỏ sót sự biến thiên quan trọng này, dẫn đến mất thông tin về gradient.</w:t>
      </w:r>
    </w:p>
    <w:p>
      <w:pPr>
        <w:pStyle w:val="BodyText"/>
      </w:pPr>
      <w:r>
        <w:t xml:space="preserve">Ngoài ra, luận án sử dụng phương pháp MARA ba tầng để phân tách cấu trúc dị biệt, một cải tiến phương pháp so với random-effects meta-analysis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bookmarkStart w:id="32"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rằng DAI có hiệu ứng nâng mặt bằng phổ quát (β = +0,155, p &lt; 0,001, mẫu gộp N=84.910 từ 49 nền kinh tế) nhưng vai trò điều tiết đường cong I-P là</w:t>
      </w:r>
      <w:r>
        <w:t xml:space="preserve"> </w:t>
      </w:r>
      <w:r>
        <w:rPr>
          <w:bCs/>
          <w:b/>
        </w:rPr>
        <w:t xml:space="preserve">bối cảnh-phụ thuộc</w:t>
      </w:r>
      <w:r>
        <w:t xml:space="preserve"> </w:t>
      </w:r>
      <w:r>
        <w:t xml:space="preserve">(DAI×ICRV: p = 0,012) gợi ý rằng DAI không phải là foundational capability (như TCI) mà là</w:t>
      </w:r>
      <w:r>
        <w:t xml:space="preserve"> </w:t>
      </w:r>
      <w:r>
        <w:rPr>
          <w:bCs/>
          <w:b/>
        </w:rPr>
        <w:t xml:space="preserve">situational resource</w:t>
      </w:r>
      <w:r>
        <w:t xml:space="preserve">, tài nguyên có vai trò thay đổi theo bối cảnh thể chế. Quan trọng: DAI×ICRV (p = 0,012) cho thấy hiệu ứng điều tiết của DAI</w:t>
      </w:r>
      <w:r>
        <w:t xml:space="preserve"> </w:t>
      </w:r>
      <w:r>
        <w:rPr>
          <w:bCs/>
          <w:b/>
        </w:rPr>
        <w:t xml:space="preserve">mạnh hơn</w:t>
      </w:r>
      <w:r>
        <w:t xml:space="preserve"> </w:t>
      </w:r>
      <w:r>
        <w:t xml:space="preserve">tại các nền kinh tế thể chế yếu hơn (Frontier, SIDS),</w:t>
      </w:r>
      <w:r>
        <w:t xml:space="preserve"> </w:t>
      </w:r>
      <w:r>
        <w:t xml:space="preserve">“</w:t>
      </w:r>
      <w:r>
        <w:t xml:space="preserve">digital shield</w:t>
      </w:r>
      <w:r>
        <w:t xml:space="preserve">”</w:t>
      </w:r>
      <w:r>
        <w:t xml:space="preserve"> </w:t>
      </w:r>
      <w:r>
        <w:t xml:space="preserve">bù đắp cho thiếu hụt thể chế.</w:t>
      </w:r>
    </w:p>
    <w:p>
      <w:pPr>
        <w:pStyle w:val="BodyText"/>
      </w:pPr>
      <w:r>
        <w:t xml:space="preserve">Điều này có hàm ý lý thuyết quan trọng cho RBV và các nghiên cứu về năng lực số (Bhandari et al., 2023; Verhoef et al., 2021): không phải mọi nguồn lực số đều tạo ra lợi thế cạnh tranh theo cùng một cơ chế trong mọi bối cảnh. Giá trị của DAI là</w:t>
      </w:r>
      <w:r>
        <w:t xml:space="preserve"> </w:t>
      </w:r>
      <w:r>
        <w:rPr>
          <w:bCs/>
          <w:b/>
        </w:rPr>
        <w:t xml:space="preserve">complementary asset</w:t>
      </w:r>
      <w:r>
        <w:t xml:space="preserve"> </w:t>
      </w:r>
      <w:r>
        <w:t xml:space="preserve">(Teece, 1986) với bối cảnh thể chế,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bookmarkEnd w:id="32"/>
    <w:bookmarkStart w:id="33"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Forced Internationalization Penalty (FIP)</w:t>
      </w:r>
      <w:r>
        <w:t xml:space="preserve">, một construct lý thuyết mới chưa được định danh trong tài liệu nghiên cứu kinh doanh quốc tế, như một hiện tượng lý thuyết độc lập, khác biệt về bản chất với</w:t>
      </w:r>
      <w:r>
        <w:t xml:space="preserve"> </w:t>
      </w:r>
      <w:r>
        <w:t xml:space="preserve">“</w:t>
      </w:r>
      <w:r>
        <w:t xml:space="preserve">phase 1 downward slope</w:t>
      </w:r>
      <w:r>
        <w:t xml:space="preserve">”</w:t>
      </w:r>
      <w:r>
        <w:t xml:space="preserve"> </w:t>
      </w:r>
      <w:r>
        <w:t xml:space="preserve">trong S-curve theory. FIP không phải là giai đoạn đầu của quá trình học hỏi (learning costs) như mô hình Uppsala dự đoán, mà là một trạng thái cấu trúc bất lợi dài hạn: doanh nghiệp SIDS phải xuất khẩu để tồn tại (do thị trường nội địa quá nhỏ) nhưng không có năng lực và môi trường để đạt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w:t>
      </w:r>
      <w:r>
        <w:t xml:space="preserve"> </w:t>
      </w:r>
      <w:r>
        <w:t xml:space="preserve">“</w:t>
      </w:r>
      <w:r>
        <w:t xml:space="preserve">more internationalization</w:t>
      </w:r>
      <w:r>
        <w:t xml:space="preserve">”</w:t>
      </w:r>
      <w:r>
        <w:t xml:space="preserve"> </w:t>
      </w:r>
      <w:r>
        <w:t xml:space="preserve">luôn là</w:t>
      </w:r>
      <w:r>
        <w:t xml:space="preserve"> </w:t>
      </w:r>
      <w:r>
        <w:t xml:space="preserve">“</w:t>
      </w:r>
      <w:r>
        <w:t xml:space="preserve">worse performance</w:t>
      </w:r>
      <w:r>
        <w:t xml:space="preserve">”</w:t>
      </w:r>
      <w:r>
        <w:t xml:space="preserve">? Luận án đề xuất rằng FIP xuất hiện khi ba điều kiện đồng thời: (i) thể chế ICRV ở mức thấp nhất, (ii) quy mô nền kinh tế quá nhỏ để tạo cơ sở nội địa, và (iii) thiếu hỗ trợ năng lực xuất khẩu từ chính sách. Kết hợp ba điều kiện này tạo ra</w:t>
      </w:r>
      <w:r>
        <w:t xml:space="preserve"> </w:t>
      </w:r>
      <w:r>
        <w:t xml:space="preserve">“</w:t>
      </w:r>
      <w:r>
        <w:t xml:space="preserve">trap</w:t>
      </w:r>
      <w:r>
        <w:t xml:space="preserve">”</w:t>
      </w:r>
      <w:r>
        <w:t xml:space="preserve">, bẫy quốc tế hóa bắt buộc, mà không có turning point để thoát khỏi.</w:t>
      </w:r>
    </w:p>
    <w:bookmarkEnd w:id="33"/>
    <w:bookmarkStart w:id="34" w:name="Xc32e0c91761841c5d26867e9ff33e10da8db64c"/>
    <w:p>
      <w:pPr>
        <w:pStyle w:val="Heading3"/>
      </w:pPr>
      <w:r>
        <w:t xml:space="preserve">5.3.3 ICRV 6-Regime,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sub-regime</w:t>
      </w:r>
      <w:r>
        <w:t xml:space="preserve"> </w:t>
      </w:r>
      <w:r>
        <w:t xml:space="preserve">như một công cụ phân loại thể chế đặc thù cho khu vực châu Á, Thái Bình Dương, thay thế cho các phân loại binary (developed/emerging) hoặc continuous (WGI scores) trong các nghiên cứu hiện tại.</w:t>
      </w:r>
    </w:p>
    <w:p>
      <w:pPr>
        <w:pStyle w:val="BodyText"/>
      </w:pPr>
      <w:r>
        <w:t xml:space="preserve">ICRV nắm bắt được sự đa dạng thể chế chưa từng được vận hành hóa đầy đủ: sự khác biệt giữa Singapore (Advanced Innovation, kết hợp pháp quyền mạnh và hệ sinh thái đổi mới) với GCC (Advanced Resource, kết hợp giàu tài nguyên nhưng hệ sinh thái đổi mới khác), và sự khác biệt giữa Trung Quốc (Upper-middle, chính phủ can thiệp mạnh) với Việt Nam (Lower-mid Transition, đang trong quá trình cải cách) với Bangladesh (Frontier, institutional voids cao). ICRV không chỉ là taxonomy mô tả mà còn là taxonomy</w:t>
      </w:r>
      <w:r>
        <w:t xml:space="preserve"> </w:t>
      </w:r>
      <w:r>
        <w:rPr>
          <w:bCs/>
          <w:b/>
        </w:rPr>
        <w:t xml:space="preserve">dự đoán</w:t>
      </w:r>
      <w:r>
        <w:t xml:space="preserve">: turning point I-P</w:t>
      </w:r>
      <w:r>
        <w:t xml:space="preserve"> </w:t>
      </w:r>
      <w:r>
        <w:rPr>
          <w:bCs/>
          <w:b/>
        </w:rPr>
        <w:t xml:space="preserve">giảm</w:t>
      </w:r>
      <w:r>
        <w:t xml:space="preserve"> </w:t>
      </w:r>
      <w:r>
        <w:t xml:space="preserve">đơn điệu theo chiều từ SIDS/Frontier (~55%) xuống Advanced Innovation (~28%), thể chế càng mạnh, doanh nghiệp đạt đỉnh hiệu quả ở mức quốc tế hóa thấp hơn, xác nhận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Chính sách hỗ trợ doanh nghiệp tiếp cận công nghệ nước ngoài (thông qua chương trình kết nối với MNCs, giảm thuế nhập khẩu công nghệ), khuyến khích R&amp;D, và hỗ trợ chứng nhận chất lượng quốc tế sẽ nâng cao TCI của toàn bộ doanh nghiệp trong nền kinh tế, từ đó dịch chuyển đường I-P lên trên và có thể mở rộng turning point về phía phải.</w:t>
      </w:r>
    </w:p>
    <w:p>
      <w:pPr>
        <w:pStyle w:val="BodyText"/>
      </w:pPr>
      <w:r>
        <w:t xml:space="preserve">Gradient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điều này có nghĩa là cải cách thể chế không chỉ có lợi về mặt kinh doanh nội địa mà còn mở rộng không gian lợi ích từ xuất khẩu.</w:t>
      </w:r>
    </w:p>
    <w:p>
      <w:pPr>
        <w:pStyle w:val="BodyText"/>
      </w:pPr>
      <w:r>
        <w:t xml:space="preserve">Đối với Việt Nam cụ thể: turning point dịch chuyển từ 46,2% (2009) xuống 39,3% (2015) là tín hiệu đáng lo ngại. Nếu turning point tiếp tục dịch trái, điều đó hàm ý rằng lợi ích từ xuất khẩu đạt đỉnh sớm hơn và suy giảm nhanh hơn,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36"/>
    <w:bookmarkStart w:id="37" w:name="Xb72945ffcd7baeba99eebb1118ccccd8ec07fb7"/>
    <w:p>
      <w:pPr>
        <w:pStyle w:val="Heading3"/>
      </w:pPr>
      <w:r>
        <w:t xml:space="preserve">5.4.2 Đề xuất cho nhà quản trị doanh nghiệp, Turning Point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01"/>
        </w:numPr>
      </w:pPr>
      <w:r>
        <w:rPr>
          <w:bCs/>
          <w:b/>
        </w:rPr>
        <w:t xml:space="preserve">Doanh nghiệp Singapore (Nhóm I)</w:t>
      </w:r>
      <w:r>
        <w:t xml:space="preserve">: turning point TP</w:t>
      </w:r>
      <w:r>
        <w:t xml:space="preserve"> </w:t>
      </w:r>
      <m:oMath>
        <m:r>
          <m:rPr>
            <m:sty m:val="p"/>
          </m:rPr>
          <m:t>≈</m:t>
        </m:r>
      </m:oMath>
      <w:r>
        <w:t xml:space="preserve"> </w:t>
      </w:r>
      <w:r>
        <w:t xml:space="preserve">88,6% cho thấy không gian quốc tế hóa rất rộng. Chiến lược mở rộng quốc tế mạnh mẽ (high-commitment internationalization) phù hợp với bối cảnh này, đặc biệt khi kết hợp với DAI cao.</w:t>
      </w:r>
    </w:p>
    <w:p>
      <w:pPr>
        <w:numPr>
          <w:ilvl w:val="0"/>
          <w:numId w:val="1001"/>
        </w:numPr>
      </w:pPr>
      <w:r>
        <w:rPr>
          <w:bCs/>
          <w:b/>
        </w:rPr>
        <w:t xml:space="preserve">Doanh nghiệp Trung Quốc (Nhóm III)</w:t>
      </w:r>
      <w:r>
        <w:t xml:space="preserve">: turning point TP</w:t>
      </w:r>
      <w:r>
        <w:t xml:space="preserve"> </w:t>
      </w:r>
      <m:oMath>
        <m:r>
          <m:rPr>
            <m:sty m:val="p"/>
          </m:rPr>
          <m:t>≈</m:t>
        </m:r>
      </m:oMath>
      <w:r>
        <w:t xml:space="preserve"> </w:t>
      </w:r>
      <w:r>
        <w:t xml:space="preserve">48,78% ổn định qua thập kỷ 2012-2024, gợi ý rằng chiến lược xuất khẩu tối ưu là duy trì tỷ lệ FSTS trong khoảng 40-50%, kết hợp giữa thị trường nội địa khổng lồ và hoạt động xuất khẩu có chọn lọc.</w:t>
      </w:r>
    </w:p>
    <w:p>
      <w:pPr>
        <w:numPr>
          <w:ilvl w:val="0"/>
          <w:numId w:val="1001"/>
        </w:numPr>
      </w:pPr>
      <w:r>
        <w:rPr>
          <w:bCs/>
          <w:b/>
        </w:rPr>
        <w:t xml:space="preserve">Doanh nghiệp Việt Nam (Nhóm IV)</w:t>
      </w:r>
      <w:r>
        <w:t xml:space="preserve">: turning point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01"/>
        </w:numPr>
      </w:pPr>
      <w:r>
        <w:rPr>
          <w:bCs/>
          <w:b/>
        </w:rPr>
        <w:t xml:space="preserve">Doanh nghiệp SIDS (Nhóm VI)</w:t>
      </w:r>
      <w:r>
        <w:t xml:space="preserve">: kết quả FIP là cảnh báo nghiêm túc,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37"/>
    <w:bookmarkStart w:id="38" w:name="X3f7c356bbecb0845bc3ba35928bc46323a69176"/>
    <w:p>
      <w:pPr>
        <w:pStyle w:val="Heading3"/>
      </w:pPr>
      <w:r>
        <w:t xml:space="preserve">5.4.3 Đề xuất đặc biệt cho SIDS, Tránh Bẫy Quốc Tế Hóa Bắt Buộc</w:t>
      </w:r>
    </w:p>
    <w:p>
      <w:pPr>
        <w:pStyle w:val="FirstParagraph"/>
      </w:pPr>
      <w:r>
        <w:t xml:space="preserve">Phát hiện FIP tại chín quốc gia SIDS Thái Bình Dương có hàm ý chính sách cụ thể và cấp bách. Hiện tại, nhiều chương trình phát triển quốc tế và viện trợ thương mại cho SIDS tập trung vào khuyến khích xuất khẩu như một chiến lược tăng trưởng. Kết quả FIP đặt câu hỏi về hiệu quả của chiến lược này khi thiếu nền tảng năng lực tương ứng.</w:t>
      </w:r>
    </w:p>
    <w:p>
      <w:pPr>
        <w:pStyle w:val="BodyText"/>
      </w:pPr>
      <w:r>
        <w:t xml:space="preserve">Thay vào đó, hàm ý chính sách là:</w:t>
      </w:r>
      <w:r>
        <w:t xml:space="preserve"> </w:t>
      </w:r>
      <w:r>
        <w:rPr>
          <w:bCs/>
          <w:b/>
        </w:rPr>
        <w:t xml:space="preserve">không phải xuất khẩu nhiều hơn, mà phải xuất khẩu tốt hơn</w:t>
      </w:r>
      <w:r>
        <w:t xml:space="preserve">. Cụ thể, ưu tiên nên là: (i) xây dựng hạ tầng logistics và kết nối (giảm chi phí cố định của xuất khẩu); (ii) phát triển năng lực doanh nghiệp thông qua TCI (chứ không chỉ DAI bề mặt); (iii) thiết kế chương trình hỗ trợ xuất khẩu có chọn lọc tập trung vào doanh nghiệp đã có đủ năng lực để hưởng lợi, thay vì khuyến khích đại trà. Nói tóm lại, tránh</w:t>
      </w:r>
      <w:r>
        <w:t xml:space="preserve"> </w:t>
      </w:r>
      <w:r>
        <w:t xml:space="preserve">“</w:t>
      </w:r>
      <w:r>
        <w:t xml:space="preserve">bẫy quốc tế hóa bắt buộc</w:t>
      </w:r>
      <w:r>
        <w:t xml:space="preserve">”</w:t>
      </w:r>
      <w:r>
        <w:t xml:space="preserve"> </w:t>
      </w:r>
      <w:r>
        <w:t xml:space="preserve">bằng cách đảm bảo rằng các can thiệp chính sách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P3 (Việt Nam, ICRV Nhóm IV) có hàm ý cụ thể và trực tiếp cho bối cảnh Đồng bằng sông Cửu Long (ĐBSCL), khu vực chiếm gần 18% GDP cả nước và hơn 50% sản lượng gạo, 65% xuất khẩu thủy sản của Việt Nam. Các doanh nghiệp xuất khẩu tại ĐBSCL hoạt động trong cùng bối cảnh thể chế với mẫu P3 nhưng có đặc điểm cấu trúc còn thách thức hơn: quy mô SME chiếm ưu thế, TCI thấp hơn trung bình quốc gia, và tỷ lệ FSTS cấu trúc cao (gạo, thủy sản vốn là hàng hóa xuất khẩu chủ yếu, không có thị trường nội địa quy mô lớn để hấp thụ).</w:t>
      </w:r>
    </w:p>
    <w:p>
      <w:pPr>
        <w:pStyle w:val="BodyText"/>
      </w:pPr>
      <w:r>
        <w:rPr>
          <w:bCs/>
          <w:b/>
        </w:rPr>
        <w:t xml:space="preserve">Turning point thấp (~39-46% FSTS) là cảnh báo cụ thể cho doanh nghiệp xuất khẩu thủy sản và gạo ĐBSCL</w:t>
      </w:r>
      <w:r>
        <w:t xml:space="preserve"> </w:t>
      </w:r>
      <w:r>
        <w:t xml:space="preserve">vốn có FSTS cấu trúc thường vượt 50-70% tổng doanh thu. Kết quả P3 gợi ý rằng nhiều doanh nghiệp này có thể đang ở trên turning point, tức là đang gánh chi phí phối hợp quốc tế mà không tương ứng tăng hiệu quả. Giải pháp không phải là giảm xuất khẩu (vì không có thị trường nội địa để thay thế) mà là</w:t>
      </w:r>
      <w:r>
        <w:t xml:space="preserve"> </w:t>
      </w:r>
      <w:r>
        <w:rPr>
          <w:bCs/>
          <w:b/>
        </w:rPr>
        <w:t xml:space="preserve">nâng TCI đồng thời</w:t>
      </w:r>
      <w:r>
        <w:t xml:space="preserve"> </w:t>
      </w:r>
      <w:r>
        <w:t xml:space="preserve">để dịch chuyển turning point sang phải, mở rộng biên lợi ích của xuất khẩu.</w:t>
      </w:r>
    </w:p>
    <w:p>
      <w:pPr>
        <w:pStyle w:val="BodyText"/>
      </w:pPr>
      <w:r>
        <w:rPr>
          <w:bCs/>
          <w:b/>
        </w:rPr>
        <w:t xml:space="preserve">DAI (Tier-1 proxy, website adoption)</w:t>
      </w:r>
      <w:r>
        <w:t xml:space="preserve"> </w:t>
      </w:r>
      <w:r>
        <w:t xml:space="preserve">tại ĐBSCL vẫn còn thấp so với trung bình cả nước. Kết quả P3 cho thấy tác động DAI null ở Tier-1 đơn thuần, nhưng bằng chứng từ P4 Singapore (Tier-1+2) cho thấy rằng khi doanh nghiệp nâng cấp lên DAI Tier-2 (website + e-payment + e-supplier), hiệu ứng điều tiết trở nên rõ rệt. Đây là cơ sở để ưu tiên các chương trình chuyển đổi số</w:t>
      </w:r>
      <w:r>
        <w:t xml:space="preserve"> </w:t>
      </w:r>
      <w:r>
        <w:rPr>
          <w:bCs/>
          <w:b/>
        </w:rPr>
        <w:t xml:space="preserve">toàn diện</w:t>
      </w:r>
      <w:r>
        <w:t xml:space="preserve">, không chỉ dừng ở website (Tier-1 proxy/foundational website adoption) mà tiến tới tích hợp thanh toán điện tử và kết nối nhà cung ứng số (Tier-2) như Chương trình Chuyển đổi số Quốc gia 2025-2030. Nghiên cứu trên dữ liệu WBES Việt Nam 2023 (sóng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và các item này thay đổi qua các thế hệ schema WBES (PICS3, Standardized, BREADY/BEE). Tại Việt Nam (P3), chỉ Tier-1 DAI (website, email, online sales) được sử dụng do hạn chế của các làn sóng 2009 và 2015, trong khi Tier-2 (e-payment, e-supplier) chỉ có từ 2023. Điều này tạo ra khả năng đo lường không đầy đủ, đặc biệt là không nắm bắt được chiều sâu năng lực số ở bối cảnh ICRV thấp.</w:t>
      </w:r>
    </w:p>
    <w:p>
      <w:pPr>
        <w:pStyle w:val="BodyText"/>
      </w:pPr>
      <w:r>
        <w:t xml:space="preserve">Quan trọng hơn, tất cả các đo lường DAI đều là</w:t>
      </w:r>
      <w:r>
        <w:t xml:space="preserve"> </w:t>
      </w:r>
      <w:r>
        <w:rPr>
          <w:bCs/>
          <w:b/>
        </w:rPr>
        <w:t xml:space="preserve">static</w:t>
      </w:r>
      <w:r>
        <w:t xml:space="preserve"> </w:t>
      </w:r>
      <w:r>
        <w:t xml:space="preserve">(tại một thời điểm khảo sát), không thể nắm bắt tính</w:t>
      </w:r>
      <w:r>
        <w:t xml:space="preserve"> </w:t>
      </w:r>
      <w:r>
        <w:t xml:space="preserve">“</w:t>
      </w:r>
      <w:r>
        <w:t xml:space="preserve">dynamic</w:t>
      </w:r>
      <w:r>
        <w:t xml:space="preserve">”</w:t>
      </w:r>
      <w:r>
        <w:t xml:space="preserve"> </w:t>
      </w:r>
      <w:r>
        <w:t xml:space="preserve">của việc cập nhật và tái cấu hình năng lực số theo thời gian. Điều này có nghĩa là các phát hiện về DAI trong luận án phản ánh mức độ chấp nhận số tại một thời điểm chứ không phải năng lực số năng động theo nghĩa của dynamic capabilities theory (Teece et al., 1997).</w:t>
      </w:r>
    </w:p>
    <w:bookmarkEnd w:id="41"/>
    <w:bookmarkStart w:id="42" w:name="X0fb0169567c230dc5c1d35515099b26124d99e1"/>
    <w:p>
      <w:pPr>
        <w:pStyle w:val="Heading3"/>
      </w:pPr>
      <w:r>
        <w:t xml:space="preserve">5.5.2 Hạn chế về selection bias trong exporters subsamples</w:t>
      </w:r>
    </w:p>
    <w:p>
      <w:pPr>
        <w:pStyle w:val="FirstParagraph"/>
      </w:pPr>
      <w:r>
        <w:t xml:space="preserve">Các phân tích sử dụng mẫu chỉ gồm doanh nghiệp xuất khẩu (ví dụ: Singapore N = 237, SIDS exporters-only N = 187) đối mặt với rủi ro selection bias nghiêm trọng: doanh nghiệp xuất khẩu không phải là mẫu ngẫu nhiên từ tổng thể doanh nghiệp mà có khả năng là các doanh nghiệp đã có một số lợi thế ban đầu (productivity, resources, connections). Kết quả từ exporters-only không thể tổng quát hóa trực tiếp cho toàn bộ doanh nghiệp, và có thể understate hoặc overstate các hiệu ứng tùy thuộc vào phương hướng của selection.</w:t>
      </w:r>
    </w:p>
    <w:p>
      <w:pPr>
        <w:pStyle w:val="BodyText"/>
      </w:pPr>
      <w:r>
        <w:t xml:space="preserve">Phân tích Heckman two-step (hoặc treatment effects models) trong các nghiên cứu tương lai có thể khắc phục phần nào hạn chế này bằng cách mô hình hóa quá trình lựa chọn tham gia xuất khẩu như giai đoạn thứ nhất trước khi ước lượng hiệu quả trong giai đoạn thứ hai.</w:t>
      </w:r>
    </w:p>
    <w:bookmarkEnd w:id="42"/>
    <w:bookmarkStart w:id="43" w:name="hạn-chế-về-nhân-quả"/>
    <w:p>
      <w:pPr>
        <w:pStyle w:val="Heading3"/>
      </w:pPr>
      <w:r>
        <w:t xml:space="preserve">5.5.3 Hạn chế về nhân quả</w:t>
      </w:r>
    </w:p>
    <w:p>
      <w:pPr>
        <w:pStyle w:val="FirstParagraph"/>
      </w:pPr>
      <w:r>
        <w:t xml:space="preserve">Thiết kế cross-sectional (hoặc pooled panel nhưng với WBES không phải là panel thực sự cho cùng doanh nghiệp qua thời gian) giới hạn khả năng suy luận nhân quả. Quan hệ I-P có thể bị ảnh hưởng bởi reverse causality: doanh nghiệp hiệu quả hơn có thể có nhiều nguồn lực để quốc tế hóa hơn, tạo ra chiều nhân quả ngược lại. Country fixed effects và year fixed effects giúp kiểm soát một phần, nhưng không giải quyết hoàn toàn vấn đề endogeneity.</w:t>
      </w:r>
    </w:p>
    <w:bookmarkEnd w:id="43"/>
    <w:bookmarkStart w:id="44" w:name="hướng-nghiên-cứu-tương-lai"/>
    <w:p>
      <w:pPr>
        <w:pStyle w:val="Heading3"/>
      </w:pPr>
      <w:r>
        <w:t xml:space="preserve">5.5.4 Hướng nghiên cứu tương lai</w:t>
      </w:r>
    </w:p>
    <w:p>
      <w:pPr>
        <w:pStyle w:val="FirstParagraph"/>
      </w:pPr>
      <w:r>
        <w:t xml:space="preserve">Dựa trên các hạn chế trên, luận án đề xuất bốn hướng nghiên cứu ưu tiên:</w:t>
      </w:r>
    </w:p>
    <w:p>
      <w:pPr>
        <w:pStyle w:val="BodyText"/>
      </w:pPr>
      <w:r>
        <w:rPr>
          <w:bCs/>
          <w:b/>
        </w:rPr>
        <w:t xml:space="preserve">Thứ nhất</w:t>
      </w:r>
      <w:r>
        <w:t xml:space="preserve">, xây dựng đo lường DAI phong phú hơn (Tier-2 và Tier-3)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kiểm định vai trò của top manager characteristics (H4, kinh nghiệm, giới tính) trong từng bối cảnh ICRV riêng biệt, đặc biệt trong bối cảnh Frontier và SIDS nơi tầng năng lực và thể chế yếu hơn, liệu đặc điểm nhà quản trị có thể bù đắp một phần cho những thiếu hụt đó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xây dựng trên tám nghiên cứu bổ sung cho nhau, kết hợp bằng chứng từ meta-analysis và phân tích thực nghiệm sơ cấp:</w:t>
      </w:r>
    </w:p>
    <w:p>
      <w:pPr>
        <w:numPr>
          <w:ilvl w:val="0"/>
          <w:numId w:val="1002"/>
        </w:numPr>
      </w:pPr>
      <w:r>
        <w:rPr>
          <w:bCs/>
          <w:b/>
        </w:rPr>
        <w:t xml:space="preserve">P1 và P2</w:t>
      </w:r>
      <w:r>
        <w:t xml:space="preserve"> </w:t>
      </w:r>
      <w:r>
        <w:t xml:space="preserve">(đã công bố, ICBEF 2024, Do &amp; Phan, 2024): thiết lập baseline meta-analytic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P3</w:t>
      </w:r>
      <w:r>
        <w:t xml:space="preserve"> </w:t>
      </w:r>
      <w:r>
        <w:t xml:space="preserve">(Do &amp; Phan, 2026e): phân tích Việt Nam (Lower-mid Transition), xác nhận inverted-U với TP = 39,3-46,2%, TCI là moderator dương có ý nghĩa.</w:t>
      </w:r>
    </w:p>
    <w:p>
      <w:pPr>
        <w:numPr>
          <w:ilvl w:val="0"/>
          <w:numId w:val="1002"/>
        </w:numPr>
      </w:pPr>
      <w:r>
        <w:rPr>
          <w:bCs/>
          <w:b/>
        </w:rPr>
        <w:t xml:space="preserve">P4</w:t>
      </w:r>
      <w:r>
        <w:t xml:space="preserve"> </w:t>
      </w:r>
      <w:r>
        <w:t xml:space="preserve">(Mar et al., 2026): phân tích Singapore (Advanced Innovation), xác nhận inverted-U với TP</w:t>
      </w:r>
      <w:r>
        <w:t xml:space="preserve"> </w:t>
      </w:r>
      <m:oMath>
        <m:r>
          <m:rPr>
            <m:sty m:val="p"/>
          </m:rPr>
          <m:t>≈</m:t>
        </m:r>
      </m:oMath>
      <w:r>
        <w:t xml:space="preserve"> </w:t>
      </w:r>
      <w:r>
        <w:t xml:space="preserve">88,6% (rộng CI), DAI khuếch đại tại mức FSTS cao.</w:t>
      </w:r>
    </w:p>
    <w:p>
      <w:pPr>
        <w:numPr>
          <w:ilvl w:val="0"/>
          <w:numId w:val="1002"/>
        </w:numPr>
      </w:pPr>
      <w:r>
        <w:rPr>
          <w:bCs/>
          <w:b/>
        </w:rPr>
        <w:t xml:space="preserve">P5</w:t>
      </w:r>
      <w:r>
        <w:t xml:space="preserve"> </w:t>
      </w:r>
      <w:r>
        <w:t xml:space="preserve">(Do &amp; Phan, 2026f): phân tích Trung Quốc 2012-2024 (Upper-middle), xác nhận inverted-U ổn định theo thời gian (TP</w:t>
      </w:r>
      <w:r>
        <w:t xml:space="preserve"> </w:t>
      </w:r>
      <m:oMath>
        <m:r>
          <m:rPr>
            <m:sty m:val="p"/>
          </m:rPr>
          <m:t>≈</m:t>
        </m:r>
      </m:oMath>
      <w:r>
        <w:t xml:space="preserve"> </w:t>
      </w:r>
      <w:r>
        <w:t xml:space="preserve">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P6</w:t>
      </w:r>
      <w:r>
        <w:t xml:space="preserve"> </w:t>
      </w:r>
      <w:r>
        <w:t xml:space="preserve">(Do &amp; Phan, 2026c): meta-analysis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2 + 8,4% tầng 3), ICRV moderation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P7</w:t>
      </w:r>
      <w:r>
        <w:t xml:space="preserve"> </w:t>
      </w:r>
      <w:r>
        <w:t xml:space="preserve">(Do &amp; Phan, 2026d): kiểm định toàn mẫu châu Á và Thái Bình Dương</w:t>
      </w:r>
      <w:r>
        <w:t xml:space="preserve"> </w:t>
      </w:r>
      <m:oMath>
        <m:r>
          <m:t>N</m:t>
        </m:r>
        <m:r>
          <m:rPr>
            <m:sty m:val="p"/>
          </m:rPr>
          <m:t>=</m:t>
        </m:r>
        <m:r>
          <m:t>84.910</m:t>
        </m:r>
      </m:oMath>
      <w:r>
        <w:t xml:space="preserve"> </w:t>
      </w:r>
      <w:r>
        <w:t xml:space="preserve">(M2) /</w:t>
      </w:r>
      <w:r>
        <w:t xml:space="preserve"> </w:t>
      </w:r>
      <m:oMath>
        <m:r>
          <m:t>N</m:t>
        </m:r>
        <m:r>
          <m:rPr>
            <m:sty m:val="p"/>
          </m:rPr>
          <m:t>=</m:t>
        </m:r>
        <m:r>
          <m:t>38.342</m:t>
        </m:r>
      </m:oMath>
      <w:r>
        <w:t xml:space="preserve"> </w:t>
      </w:r>
      <w:r>
        <w:t xml:space="preserve">(M3-M5 với controls đầy đủ), TP = 36,4-40,0% (M2-M5; M11 đầy đủ: TP = 34,6%,</w:t>
      </w:r>
      <w:r>
        <w:t xml:space="preserve"> </w:t>
      </w:r>
      <m:oMath>
        <m:sSub>
          <m:e>
            <m:r>
              <m:t>p</m:t>
            </m:r>
          </m:e>
          <m:sub>
            <m:r>
              <m:rPr>
                <m:nor/>
                <m:sty m:val="p"/>
              </m:rPr>
              <m:t>LM</m:t>
            </m:r>
          </m:sub>
        </m:sSub>
        <m:r>
          <m:rPr>
            <m:sty m:val="p"/>
          </m:rPr>
          <m:t>=</m:t>
        </m:r>
        <m:r>
          <m:rPr>
            <m:sty m:val="p"/>
          </m:rPr>
          <m:t>,</m:t>
        </m:r>
        <m:r>
          <m:t>002</m:t>
        </m:r>
      </m:oMath>
      <w:r>
        <w:t xml:space="preserve">), gradient ICRV xác nhận mạnh mẽ, TCI nâng mặt bằng năng suất phổ quát, DAI điều tiết đường cong có ý nghĩa trên toàn mẫu và mạnh hơn tại thể chế yếu hơn (DAI×ICRV</w:t>
      </w:r>
      <w:r>
        <w:t xml:space="preserve"> </w:t>
      </w:r>
      <m:oMath>
        <m:r>
          <m:t>p</m:t>
        </m:r>
        <m:r>
          <m:rPr>
            <m:sty m:val="p"/>
          </m:rPr>
          <m:t>=</m:t>
        </m:r>
        <m:r>
          <m:rPr>
            <m:sty m:val="p"/>
          </m:rPr>
          <m:t>,</m:t>
        </m:r>
        <m:r>
          <m:t>012</m:t>
        </m:r>
      </m:oMath>
      <w:r>
        <w:t xml:space="preserve">).</w:t>
      </w:r>
    </w:p>
    <w:p>
      <w:pPr>
        <w:numPr>
          <w:ilvl w:val="0"/>
          <w:numId w:val="1002"/>
        </w:numPr>
      </w:pPr>
      <w:r>
        <w:rPr>
          <w:bCs/>
          <w:b/>
        </w:rPr>
        <w:t xml:space="preserve">P8</w:t>
      </w:r>
      <w:r>
        <w:t xml:space="preserve"> </w:t>
      </w:r>
      <w:r>
        <w:t xml:space="preserve">(Do &amp; Phan, 2026b): phân tích SIDS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FIP xác nhận, quan hệ âm đơn điệu không có turning point.</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(P6 meta-analysis) và 84.910 doanh nghiệp tại 49 nền kinh tế châu Á và Thái Bình Dương (P7) đều chỉ đến kết luận này. Quan hệ I-P không phải là một đường cong phổ quát mà là một</w:t>
      </w:r>
      <w:r>
        <w:t xml:space="preserve"> </w:t>
      </w:r>
      <w:r>
        <w:rPr>
          <w:bCs/>
          <w:b/>
        </w:rPr>
        <w:t xml:space="preserve">họ đường cong phụ thuộc bối cảnh</w:t>
      </w:r>
      <w:r>
        <w:t xml:space="preserve"> </w:t>
      </w:r>
      <w:r>
        <w:t xml:space="preserve">(family of context-dependent curves), với turning point là hàm số giảm dần của chất lượng thể chế theo ICRV, thể chế càng mạnh, turning point càng sớm (FSTS thấp hơn).</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(i) các nghiên cứu meta-analysis về quan hệ I-P bằng cách phân tách cấu trúc dị biệt và xác định ICRV như moderator có ý nghĩa; (ii) các nghiên cứu về năng lực số bằng cách làm rõ DAI là situational resource chứ không phải foundational capability; và (iii) các nghiên cứu về quốc tế hóa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không áp dụng máy móc bài học từ Singapore hay Nhật Bản vào bối cảnh Việt Nam hay SIDS, mà nhận ra sự phụ thuộc bối cảnh như là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bắt đầu từ câu hỏi đơn giản: quốc tế hóa có cải thiện hiệu quả của doanh nghiệp không? Câu trả lời, sau tám nghiên cứu và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SIDS, quốc tế hóa bắt buộc có thể gây ra thiệt hại. Hiểu biết này, rằng quan hệ I-P là quan hệ có điều kiện theo thể chế, không phải quan hệ phổ quát,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2026-05-25T09:18:32Z</dcterms:created>
  <dcterms:modified xsi:type="dcterms:W3CDTF">2026-05-25T09:18:32Z</dcterms:modified>
</cp:coreProperties>
</file>

<file path=docProps/custom.xml><?xml version="1.0" encoding="utf-8"?>
<Properties xmlns="http://schemas.openxmlformats.org/officeDocument/2006/custom-properties" xmlns:vt="http://schemas.openxmlformats.org/officeDocument/2006/docPropsVTypes"/>
</file>