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 of submission]</w:t>
      </w:r>
    </w:p>
    <w:p>
      <w:pPr>
        <w:pStyle w:val="BodyText"/>
      </w:pPr>
      <w:r>
        <w:t xml:space="preserve">The Editor-in-Chief</w:t>
      </w:r>
      <w:r>
        <w:t xml:space="preserve"> </w:t>
      </w:r>
      <w:r>
        <w:rPr>
          <w:iCs/>
          <w:i/>
        </w:rPr>
        <w:t xml:space="preserve">Management International Review</w:t>
      </w:r>
      <w:r>
        <w:t xml:space="preserve"> </w:t>
      </w:r>
      <w:r>
        <w:t xml:space="preserve">Springer Nature</w:t>
      </w:r>
    </w:p>
    <w:p>
      <w:r>
        <w:pict>
          <v:rect style="width:0;height:1.5pt" o:hralign="center" o:hrstd="t" o:hr="t"/>
        </w:pict>
      </w:r>
    </w:p>
    <w:p>
      <w:pPr>
        <w:pStyle w:val="FirstParagraph"/>
      </w:pPr>
      <w:r>
        <w:rPr>
          <w:bCs/>
          <w:b/>
        </w:rPr>
        <w:t xml:space="preserve">Submission of Manuscript:</w:t>
      </w:r>
      <w:r>
        <w:rPr>
          <w:bCs/>
          <w:b/>
        </w:rPr>
        <w:t xml:space="preserve"> </w:t>
      </w:r>
      <w:r>
        <w:rPr>
          <w:bCs/>
          <w:b/>
        </w:rPr>
        <w:t xml:space="preserve">“</w:t>
      </w:r>
      <w:r>
        <w:rPr>
          <w:bCs/>
          <w:b/>
        </w:rPr>
        <w:t xml:space="preserve">When Institutional Transformation Breaks the Threshold: The Disappearance of the Inverted-U Internationalisation–Performance Relationship in Indian Firms, 2014–2025</w:t>
      </w:r>
      <w:r>
        <w:rPr>
          <w:bCs/>
          <w:b/>
        </w:rPr>
        <w:t xml:space="preserve">”</w:t>
      </w:r>
    </w:p>
    <w:p>
      <w:pPr>
        <w:pStyle w:val="BodyText"/>
      </w:pPr>
      <w:r>
        <w:t xml:space="preserve">Dear Editor-in-Chief,</w:t>
      </w:r>
    </w:p>
    <w:p>
      <w:pPr>
        <w:pStyle w:val="BodyText"/>
      </w:pPr>
      <w:r>
        <w:t xml:space="preserve">We are pleased to submit the above manuscript for consideration for publication in</w:t>
      </w:r>
      <w:r>
        <w:t xml:space="preserve"> </w:t>
      </w:r>
      <w:r>
        <w:rPr>
          <w:iCs/>
          <w:i/>
        </w:rPr>
        <w:t xml:space="preserve">Management International Review</w:t>
      </w:r>
      <w:r>
        <w:t xml:space="preserve">. The paper presents an empirical study of the internationalisation–performance (I-P) threshold using three waves of World Bank Enterprise Survey microdata for India (2014 PICS3, N = 9,281; 2022 BEE, N = 9,376; 2025 BREADY, N = 10,479; pooled raw N = 29,136). The 2014–2025 window spans India’s exceptional institutional and digital transformation decade: demonetisation 2016, Goods and Services Tax 2017, Insolvency and Bankruptcy Code 2016, Unified Payments Interface (UPI) launch 2016 and saturation 2024, Production-Linked Incentive scheme 2020, COVID-19 2020-2022, and Atmanirbhar Bharat self-reliance policy 2020.</w:t>
      </w:r>
    </w:p>
    <w:p>
      <w:pPr>
        <w:pStyle w:val="BodyText"/>
      </w:pPr>
      <w:r>
        <w:rPr>
          <w:bCs/>
          <w:b/>
        </w:rPr>
        <w:t xml:space="preserve">Fit with MIR</w:t>
      </w:r>
    </w:p>
    <w:p>
      <w:pPr>
        <w:pStyle w:val="BodyText"/>
      </w:pPr>
      <w:r>
        <w:t xml:space="preserve">MIR is a natural venue for this work for three reasons. First, the manuscript addresses a</w:t>
      </w:r>
      <w:r>
        <w:t xml:space="preserve"> </w:t>
      </w:r>
      <w:r>
        <w:rPr>
          <w:bCs/>
          <w:b/>
        </w:rPr>
        <w:t xml:space="preserve">core international business question</w:t>
      </w:r>
      <w:r>
        <w:t xml:space="preserve">, the durability of the internationalisation–performance relationship under institutional change, using a large, multi-wave emerging-market dataset, consistent with MIR’s editorial focus on rigorous comparative empirical research. Second, the</w:t>
      </w:r>
      <w:r>
        <w:t xml:space="preserve"> </w:t>
      </w:r>
      <w:r>
        <w:rPr>
          <w:bCs/>
          <w:b/>
        </w:rPr>
        <w:t xml:space="preserve">South Asian institutional context</w:t>
      </w:r>
      <w:r>
        <w:t xml:space="preserve"> </w:t>
      </w:r>
      <w:r>
        <w:t xml:space="preserve">(democratic federal common-law system with active developmental-state policy under Atmanirbhar Bharat and PLI) provides theoretical variation distinct from the East Asian transition-economy evidence that dominates the post-2010 emerging-market I-P literature. Third, the</w:t>
      </w:r>
      <w:r>
        <w:t xml:space="preserve"> </w:t>
      </w:r>
      <w:r>
        <w:rPr>
          <w:bCs/>
          <w:b/>
        </w:rPr>
        <w:t xml:space="preserve">UPI quasi-natural experiment</w:t>
      </w:r>
      <w:r>
        <w:t xml:space="preserve">, distinguishing private digital adoption (Tier-1 website) from public digital infrastructure utilisation (Tier-2 e-payment via UPI rails), speaks to a current MIR conversation on how state-provisioned infrastructure substitutes for private capability accumulation in emerging markets.</w:t>
      </w:r>
    </w:p>
    <w:p>
      <w:pPr>
        <w:pStyle w:val="BodyText"/>
      </w:pPr>
      <w:r>
        <w:rPr>
          <w:bCs/>
          <w:b/>
        </w:rPr>
        <w:t xml:space="preserve">Key Contributions</w:t>
      </w:r>
    </w:p>
    <w:p>
      <w:pPr>
        <w:pStyle w:val="BodyText"/>
      </w:pPr>
      <w:r>
        <w:t xml:space="preserve">First, this is the</w:t>
      </w:r>
      <w:r>
        <w:t xml:space="preserve"> </w:t>
      </w:r>
      <w:r>
        <w:rPr>
          <w:bCs/>
          <w:b/>
        </w:rPr>
        <w:t xml:space="preserve">first firm-level cross-wave threshold-stability test for India</w:t>
      </w:r>
      <w:r>
        <w:t xml:space="preserve"> </w:t>
      </w:r>
      <w:r>
        <w:t xml:space="preserve">using three full WBES waves. Prior Indian I-P studies (Elango &amp; Pattnaik, 2007; Contractor et al., 2007; Sambharya, 1996) used single-wave or matched-sample designs that cannot address the durability question.</w:t>
      </w:r>
    </w:p>
    <w:p>
      <w:pPr>
        <w:pStyle w:val="BodyText"/>
      </w:pPr>
      <w:r>
        <w:t xml:space="preserve">Second, the manuscript</w:t>
      </w:r>
      <w:r>
        <w:t xml:space="preserve"> </w:t>
      </w:r>
      <w:r>
        <w:rPr>
          <w:bCs/>
          <w:b/>
        </w:rPr>
        <w:t xml:space="preserve">decomposes the Digital Adoption Index</w:t>
      </w:r>
      <w:r>
        <w:t xml:space="preserve"> </w:t>
      </w:r>
      <w:r>
        <w:t xml:space="preserve">into Tier-1 (private website binary, available all waves) and Tier-2 (e-payment percentage via UPI rails, 2025 BREADY only). This distinction is theoretically novel and policy-relevant: if Tier-2 dominates Tier-1, the binding constraint on SME exporter productivity is</w:t>
      </w:r>
      <w:r>
        <w:t xml:space="preserve"> </w:t>
      </w:r>
      <w:r>
        <w:rPr>
          <w:bCs/>
          <w:b/>
        </w:rPr>
        <w:t xml:space="preserve">public digital infrastructure rather than private capability</w:t>
      </w:r>
      <w:r>
        <w:t xml:space="preserve">, with direct implications for digital-policy investment.</w:t>
      </w:r>
    </w:p>
    <w:p>
      <w:pPr>
        <w:pStyle w:val="BodyText"/>
      </w:pPr>
      <w:r>
        <w:t xml:space="preserve">Third, the manuscript tests whether the threshold stability documented in less turbulent emerging-market settings extends to India, and finds that</w:t>
      </w:r>
      <w:r>
        <w:t xml:space="preserve"> </w:t>
      </w:r>
      <w:r>
        <w:rPr>
          <w:bCs/>
          <w:b/>
        </w:rPr>
        <w:t xml:space="preserve">it does not</w:t>
      </w:r>
      <w:r>
        <w:t xml:space="preserve">: under India’s far more severe institutional transformation the inverted-U threshold</w:t>
      </w:r>
      <w:r>
        <w:t xml:space="preserve"> </w:t>
      </w:r>
      <w:r>
        <w:rPr>
          <w:bCs/>
          <w:b/>
        </w:rPr>
        <w:t xml:space="preserve">dissolves rather than relocates</w:t>
      </w:r>
      <w:r>
        <w:t xml:space="preserve">. This identifies an environmental scope condition, institutional stability, for the canonical inverted-U claim, a boundary that the cross-country literature has assumed but never tested with multi-wave firm-level data. Companion single-country analyses by the authors (Vietnam and China) are in preparation.</w:t>
      </w:r>
    </w:p>
    <w:p>
      <w:pPr>
        <w:pStyle w:val="BodyText"/>
      </w:pPr>
      <w:r>
        <w:rPr>
          <w:bCs/>
          <w:b/>
        </w:rPr>
        <w:t xml:space="preserve">Prior Related Work, Transparent Disclosure</w:t>
      </w:r>
    </w:p>
    <w:p>
      <w:pPr>
        <w:pStyle w:val="BodyText"/>
      </w:pPr>
      <w:r>
        <w:t xml:space="preserve">We wish to disclose that we have previously published a related but distinct study on Indian firms in a book chapter (Do &amp; Phan, 2025, IntechOpen, DOI 10.5772/intechopen.1011012). That chapter used a matched sub-sample of 380 firms (760 firm-year observations), a linear DOI specification, FGLS panel estimation, and an Uppsala + Upper Echelons theoretical lens to test moderation by top-management characteristics (experience, gender).</w:t>
      </w:r>
    </w:p>
    <w:p>
      <w:pPr>
        <w:pStyle w:val="BodyText"/>
      </w:pPr>
      <w:r>
        <w:t xml:space="preserve">The present manuscript is</w:t>
      </w:r>
      <w:r>
        <w:t xml:space="preserve"> </w:t>
      </w:r>
      <w:r>
        <w:rPr>
          <w:bCs/>
          <w:b/>
        </w:rPr>
        <w:t xml:space="preserve">fundamentally different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Book Chapter (2025)</w:t>
            </w:r>
          </w:p>
        </w:tc>
        <w:tc>
          <w:tcPr/>
          <w:p>
            <w:pPr>
              <w:pStyle w:val="Compact"/>
              <w:jc w:val="left"/>
            </w:pPr>
            <w:r>
              <w:t xml:space="preserve">This Manuscript</w:t>
            </w:r>
          </w:p>
        </w:tc>
      </w:tr>
      <w:tr>
        <w:tc>
          <w:tcPr/>
          <w:p>
            <w:pPr>
              <w:pStyle w:val="Compact"/>
              <w:jc w:val="left"/>
            </w:pPr>
            <w:r>
              <w:t xml:space="preserve">Theoretical framework</w:t>
            </w:r>
          </w:p>
        </w:tc>
        <w:tc>
          <w:tcPr/>
          <w:p>
            <w:pPr>
              <w:pStyle w:val="Compact"/>
              <w:jc w:val="left"/>
            </w:pPr>
            <w:r>
              <w:t xml:space="preserve">Uppsala + Upper Echelons</w:t>
            </w:r>
          </w:p>
        </w:tc>
        <w:tc>
          <w:tcPr/>
          <w:p>
            <w:pPr>
              <w:pStyle w:val="Compact"/>
              <w:jc w:val="left"/>
            </w:pPr>
            <w:r>
              <w:t xml:space="preserve">Conditional Digital Capability Moderation</w:t>
            </w:r>
          </w:p>
        </w:tc>
      </w:tr>
      <w:tr>
        <w:tc>
          <w:tcPr/>
          <w:p>
            <w:pPr>
              <w:pStyle w:val="Compact"/>
              <w:jc w:val="left"/>
            </w:pPr>
            <w:r>
              <w:t xml:space="preserve">Dependent variable</w:t>
            </w:r>
          </w:p>
        </w:tc>
        <w:tc>
          <w:tcPr/>
          <w:p>
            <w:pPr>
              <w:pStyle w:val="Compact"/>
              <w:jc w:val="left"/>
            </w:pPr>
            <w:r>
              <w:t xml:space="preserve">Return on Sales</w:t>
            </w:r>
          </w:p>
        </w:tc>
        <w:tc>
          <w:tcPr/>
          <w:p>
            <w:pPr>
              <w:pStyle w:val="Compact"/>
              <w:jc w:val="left"/>
            </w:pPr>
            <w:r>
              <w:t xml:space="preserve">ln(Labour Productivity)</w:t>
            </w:r>
          </w:p>
        </w:tc>
      </w:tr>
      <w:tr>
        <w:tc>
          <w:tcPr/>
          <w:p>
            <w:pPr>
              <w:pStyle w:val="Compact"/>
              <w:jc w:val="left"/>
            </w:pPr>
            <w:r>
              <w:t xml:space="preserve">IV specification</w:t>
            </w:r>
          </w:p>
        </w:tc>
        <w:tc>
          <w:tcPr/>
          <w:p>
            <w:pPr>
              <w:pStyle w:val="Compact"/>
              <w:jc w:val="left"/>
            </w:pPr>
            <w:r>
              <w:t xml:space="preserve">Linear DOI</w:t>
            </w:r>
          </w:p>
        </w:tc>
        <w:tc>
          <w:tcPr/>
          <w:p>
            <w:pPr>
              <w:pStyle w:val="Compact"/>
              <w:jc w:val="left"/>
            </w:pPr>
            <w:r>
              <w:t xml:space="preserve">Quadratic FSTS + FSTS²</w:t>
            </w:r>
          </w:p>
        </w:tc>
      </w:tr>
      <w:tr>
        <w:tc>
          <w:tcPr/>
          <w:p>
            <w:pPr>
              <w:pStyle w:val="Compact"/>
              <w:jc w:val="left"/>
            </w:pPr>
            <w:r>
              <w:t xml:space="preserve">Moderators</w:t>
            </w:r>
          </w:p>
        </w:tc>
        <w:tc>
          <w:tcPr/>
          <w:p>
            <w:pPr>
              <w:pStyle w:val="Compact"/>
              <w:jc w:val="left"/>
            </w:pPr>
            <w:r>
              <w:t xml:space="preserve">TMT experience + gender</w:t>
            </w:r>
          </w:p>
        </w:tc>
        <w:tc>
          <w:tcPr/>
          <w:p>
            <w:pPr>
              <w:pStyle w:val="Compact"/>
              <w:jc w:val="left"/>
            </w:pPr>
            <w:r>
              <w:t xml:space="preserve">TCI + DAI Tier-1 + DAI Tier-2</w:t>
            </w:r>
          </w:p>
        </w:tc>
      </w:tr>
      <w:tr>
        <w:tc>
          <w:tcPr/>
          <w:p>
            <w:pPr>
              <w:pStyle w:val="Compact"/>
              <w:jc w:val="left"/>
            </w:pPr>
            <w:r>
              <w:t xml:space="preserve">Method</w:t>
            </w:r>
          </w:p>
        </w:tc>
        <w:tc>
          <w:tcPr/>
          <w:p>
            <w:pPr>
              <w:pStyle w:val="Compact"/>
              <w:jc w:val="left"/>
            </w:pPr>
            <w:r>
              <w:t xml:space="preserve">FGLS panel</w:t>
            </w:r>
          </w:p>
        </w:tc>
        <w:tc>
          <w:tcPr/>
          <w:p>
            <w:pPr>
              <w:pStyle w:val="Compact"/>
              <w:jc w:val="left"/>
            </w:pPr>
            <w:r>
              <w:t xml:space="preserve">OLS-HC1 + Lind-Mehlum + Paternoster z</w:t>
            </w:r>
          </w:p>
        </w:tc>
      </w:tr>
      <w:tr>
        <w:tc>
          <w:tcPr/>
          <w:p>
            <w:pPr>
              <w:pStyle w:val="Compact"/>
              <w:jc w:val="left"/>
            </w:pPr>
            <w:r>
              <w:t xml:space="preserve">Sample</w:t>
            </w:r>
          </w:p>
        </w:tc>
        <w:tc>
          <w:tcPr/>
          <w:p>
            <w:pPr>
              <w:pStyle w:val="Compact"/>
              <w:jc w:val="left"/>
            </w:pPr>
            <w:r>
              <w:t xml:space="preserve">760 obs (380 matched firms)</w:t>
            </w:r>
          </w:p>
        </w:tc>
        <w:tc>
          <w:tcPr/>
          <w:p>
            <w:pPr>
              <w:pStyle w:val="Compact"/>
              <w:jc w:val="left"/>
            </w:pPr>
            <w:r>
              <w:t xml:space="preserve">28,717 analytic obs (full WBES, 3 waves)</w:t>
            </w:r>
          </w:p>
        </w:tc>
      </w:tr>
      <w:tr>
        <w:tc>
          <w:tcPr/>
          <w:p>
            <w:pPr>
              <w:pStyle w:val="Compact"/>
              <w:jc w:val="left"/>
            </w:pPr>
            <w:r>
              <w:t xml:space="preserve">Research question</w:t>
            </w:r>
          </w:p>
        </w:tc>
        <w:tc>
          <w:tcPr/>
          <w:p>
            <w:pPr>
              <w:pStyle w:val="Compact"/>
              <w:jc w:val="left"/>
            </w:pPr>
            <w:r>
              <w:t xml:space="preserve">TMT moderation effect</w:t>
            </w:r>
          </w:p>
        </w:tc>
        <w:tc>
          <w:tcPr/>
          <w:p>
            <w:pPr>
              <w:pStyle w:val="Compact"/>
              <w:jc w:val="left"/>
            </w:pPr>
            <w:r>
              <w:t xml:space="preserve">Threshold durability + digital moderation</w:t>
            </w:r>
          </w:p>
        </w:tc>
      </w:tr>
    </w:tbl>
    <w:p>
      <w:pPr>
        <w:pStyle w:val="BodyText"/>
      </w:pPr>
      <w:r>
        <w:t xml:space="preserve">We have included a self-citation in the literature review acknowledging the prior work transparently. We confirm that the empirical analysis reported in the present manuscript has not been published in whole or in substantive part. A full differentiation memo is included in the replication package.</w:t>
      </w:r>
    </w:p>
    <w:p>
      <w:pPr>
        <w:pStyle w:val="BodyText"/>
      </w:pPr>
      <w:r>
        <w:rPr>
          <w:bCs/>
          <w:b/>
        </w:rPr>
        <w:t xml:space="preserve">Originality and Declaration</w:t>
      </w:r>
    </w:p>
    <w:p>
      <w:pPr>
        <w:pStyle w:val="BodyText"/>
      </w:pPr>
      <w:r>
        <w:t xml:space="preserve">This manuscript is original, has not been published previously, and is not under consideration elsewhere. All authors approve the submission. The authors declare no conflict of interest. No specific grant from any funding agency was received. The use of WBES data is subject to the World Bank’s standard data agreement.</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~8,500 words</w:t>
      </w:r>
    </w:p>
    <w:p>
      <w:pPr>
        <w:numPr>
          <w:ilvl w:val="0"/>
          <w:numId w:val="1001"/>
        </w:numPr>
        <w:pStyle w:val="Compact"/>
      </w:pPr>
      <w:r>
        <w:t xml:space="preserve">Tables: 5; Figures: 4</w:t>
      </w:r>
    </w:p>
    <w:p>
      <w:pPr>
        <w:numPr>
          <w:ilvl w:val="0"/>
          <w:numId w:val="1001"/>
        </w:numPr>
        <w:pStyle w:val="Compact"/>
      </w:pPr>
      <w:r>
        <w:t xml:space="preserve">Keywords: internationalisation–performance; export intensity; threshold stability; India; UPI; digital capability; technological capability; institutional transformation; emerging markets; Conditional Digital Capability Moderation</w:t>
      </w:r>
    </w:p>
    <w:p>
      <w:pPr>
        <w:numPr>
          <w:ilvl w:val="0"/>
          <w:numId w:val="1001"/>
        </w:numPr>
        <w:pStyle w:val="Compact"/>
      </w:pPr>
      <w:r>
        <w:t xml:space="preserve">JEL classification: F23, O33, D22, L25, O53, O25</w:t>
      </w:r>
    </w:p>
    <w:p>
      <w:pPr>
        <w:pStyle w:val="FirstParagraph"/>
      </w:pPr>
      <w:r>
        <w:t xml:space="preserve">We hope the manuscript will be of interest to MIR’s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School of Economics, Can Tho University (CTU), Vietnam</w:t>
      </w:r>
      <w:r>
        <w:t xml:space="preserve"> </w:t>
      </w:r>
      <w:r>
        <w:t xml:space="preserve">Email: thuyhuongctu@gmail.com | ORCID: 0000-0002-7711-2487</w:t>
      </w:r>
    </w:p>
    <w:p>
      <w:pPr>
        <w:pStyle w:val="BodyText"/>
      </w:pPr>
      <w:r>
        <w:rPr>
          <w:bCs/>
          <w:b/>
        </w:rPr>
        <w:t xml:space="preserve">PGS.TS. Phan Anh Tú (Phan Anh Tu)</w:t>
      </w:r>
      <w:r>
        <w:t xml:space="preserve"> </w:t>
      </w:r>
      <w:r>
        <w:t xml:space="preserve">Associate Professor, School of Economics</w:t>
      </w:r>
      <w:r>
        <w:t xml:space="preserve"> </w:t>
      </w:r>
      <w:r>
        <w:t xml:space="preserve">Can Tho University (CTU), Vietnam</w:t>
      </w:r>
      <w:r>
        <w:t xml:space="preserve"> </w:t>
      </w:r>
      <w:r>
        <w:rPr>
          <w:iCs/>
          <w:i/>
        </w:rPr>
        <w:t xml:space="preserve">Corresponding author</w:t>
      </w:r>
      <w:r>
        <w:t xml:space="preserve"> </w:t>
      </w:r>
      <w:r>
        <w:t xml:space="preserve">Email: patu@ctu.edu.vn | ORCID: 0000-0003-0667-3137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2026-06-10T12:11:34Z</dcterms:created>
  <dcterms:modified xsi:type="dcterms:W3CDTF">2026-06-10T12:11:34Z</dcterms:modified>
</cp:coreProperties>
</file>

<file path=docProps/custom.xml><?xml version="1.0" encoding="utf-8"?>
<Properties xmlns="http://schemas.openxmlformats.org/officeDocument/2006/custom-properties" xmlns:vt="http://schemas.openxmlformats.org/officeDocument/2006/docPropsVTypes"/>
</file>