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International Management (JIM,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the analysis plan registered on OSF (transparency registration)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I→P, spanning 49 economies,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International Management</w:t>
      </w:r>
      <w:r>
        <w:t xml:space="preserve"> </w:t>
      </w:r>
      <w:r>
        <w:t xml:space="preserve">(JIM, Elsevier).</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coded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was coded by the first author against the standardized codebook (Appendix B). For reliability, the two authors independently coded a 20% stratified subsample (k = 47 studies), blind to each other's codes; agreement was assessed with Cohen's κ for the categorical moderators and ICC(2, 1) for the continuous cDAI index, against the Landis and Koch (1977) thresholds (κ ≥ 0.70; ICC ≥ 0.80). Disagreements were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was established on a 20% double-coded subsample (</w:t>
      </w:r>
      <w:r>
        <w:rPr>
          <w:iCs/>
          <w:i/>
        </w:rPr>
        <w:t xml:space="preserve">k</w:t>
      </w:r>
      <w:r>
        <w:t xml:space="preserve"> </w:t>
      </w:r>
      <w:r>
        <w:t xml:space="preserve">= 47 studies), with the two authors coding independently and agreement reported in Table 3.1; the remaining 80% was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2026-06-09T08:19:20Z</dcterms:created>
  <dcterms:modified xsi:type="dcterms:W3CDTF">2026-06-09T08:19:20Z</dcterms:modified>
</cp:coreProperties>
</file>

<file path=docProps/custom.xml><?xml version="1.0" encoding="utf-8"?>
<Properties xmlns="http://schemas.openxmlformats.org/officeDocument/2006/custom-properties" xmlns:vt="http://schemas.openxmlformats.org/officeDocument/2006/docPropsVTypes"/>
</file>