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Status:</w:t>
      </w:r>
      <w:r>
        <w:t xml:space="preserve"> </w:t>
      </w:r>
      <w:r>
        <w:t xml:space="preserve">Empirical results complete; under revision for submission</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Managerial experience and female top management</w:t>
      </w:r>
      <w:r>
        <w:t xml:space="preserve"> </w:t>
      </w:r>
      <w:r>
        <w:t xml:space="preserve">improve performance; experience additionally moderates the curve shape</w:t>
      </w:r>
      <w:r>
        <w:t xml:space="preserve"> </w:t>
      </w:r>
      <w:r>
        <w:t xml:space="preserve">in the full specification.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84,910–29,840),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w:t>
      </w:r>
      <w:r>
        <w:t xml:space="preserve"> </w:t>
      </w:r>
      <w:r>
        <w:t xml:space="preserve">Adding controls reduces the sample to N = 38,342 (M3); country-year FE</w:t>
      </w:r>
      <w:r>
        <w:t xml:space="preserve"> </w:t>
      </w:r>
      <w:r>
        <w:t xml:space="preserve">model M5 uses the same sample. TCI-moderation models (M6, M7) use N ≈</w:t>
      </w:r>
      <w:r>
        <w:t xml:space="preserve"> </w:t>
      </w:r>
      <w:r>
        <w:t xml:space="preserve">38,051; adding DAI (M8) N ≈ 37,940; manager models (M9) N ≈ 35,568;</w:t>
      </w:r>
      <w:r>
        <w:t xml:space="preserve"> </w:t>
      </w:r>
      <w:r>
        <w:t xml:space="preserve">ICRV-moderation (M10) N ≈ 31,928; full three-way (M11) N ≈ 29,840.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16%</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115% higher labour</w:t>
      </w:r>
      <w:r>
        <w:t xml:space="preserve"> </w:t>
      </w:r>
      <w:r>
        <w:t xml:space="preserve">productivity level (exp(0.763) − 1 ≈ 115%).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+1.762, p</w:t>
      </w:r>
      <w:r>
        <w:t xml:space="preserve"> </w:t>
      </w:r>
      <w:r>
        <w:t xml:space="preserve">&lt; .001) and FSTS²×ICRV (β = −2.746,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(Frontier/SIDS),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 "performance" 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34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8"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w:t>
      </w:r>
      <w:r>
        <w:rPr>
          <w:iCs/>
          <w:i/>
        </w:rPr>
        <w:t xml:space="preserve"> </w:t>
      </w:r>
      <w:r>
        <w:rPr>
          <w:iCs/>
          <w:i/>
        </w:rPr>
        <w:t xml:space="preserve">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w:t>
      </w:r>
      <w:r>
        <w:t xml:space="preserve"> </w:t>
      </w:r>
      <w:r>
        <w:t xml:space="preserve">relationship between international expansion and performance: The case</w:t>
      </w:r>
      <w:r>
        <w:t xml:space="preserve"> </w:t>
      </w:r>
      <w:r>
        <w:t xml:space="preserve">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w:t>
      </w:r>
      <w:r>
        <w:t xml:space="preserve"> </w:t>
      </w:r>
      <w:r>
        <w:t xml:space="preserve">Home country uncertainty and the internationalization-performance</w:t>
      </w:r>
      <w:r>
        <w:t xml:space="preserve"> </w:t>
      </w:r>
      <w:r>
        <w:t xml:space="preserve">relationship: Building an uncertainty management capability.</w:t>
      </w:r>
      <w:r>
        <w:t xml:space="preserve"> </w:t>
      </w:r>
      <w:r>
        <w:rPr>
          <w:iCs/>
          <w:i/>
        </w:rPr>
        <w:t xml:space="preserve">Journal of</w:t>
      </w:r>
      <w:r>
        <w:rPr>
          <w:iCs/>
          <w:i/>
        </w:rPr>
        <w:t xml:space="preserve"> </w:t>
      </w:r>
      <w:r>
        <w:rPr>
          <w:iCs/>
          <w:i/>
        </w:rPr>
        <w:t xml:space="preserve">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w:t>
      </w:r>
      <w:r>
        <w:t xml:space="preserve"> </w:t>
      </w:r>
      <w:r>
        <w:t xml:space="preserve">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1">
        <w:r>
          <w:rPr>
            <w:rStyle w:val="Hyperlink"/>
          </w:rPr>
          <w:t xml:space="preserve">https://doi.org/10.5772/intechopen.1011012</w:t>
        </w:r>
      </w:hyperlink>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62">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3">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w:t>
      </w:r>
      <w:r>
        <w:rPr>
          <w:iCs/>
          <w:i/>
        </w:rPr>
        <w:t xml:space="preserve"> </w:t>
      </w:r>
      <w:r>
        <w:rPr>
          <w:iCs/>
          <w:i/>
        </w:rPr>
        <w:t xml:space="preserve">conditional process analysis: A regression-based approach</w:t>
      </w:r>
      <w:r>
        <w:t xml:space="preserve"> </w:t>
      </w:r>
      <w:r>
        <w:t xml:space="preserve">(2nd ed.).</w:t>
      </w:r>
      <w:r>
        <w:t xml:space="preserve"> </w:t>
      </w:r>
      <w:r>
        <w:t xml:space="preserve">Guilford Press.</w:t>
      </w:r>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4">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5">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6">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7">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8">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9">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70">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hyperlink r:id="rId71">
        <w:r>
          <w:rPr>
            <w:rStyle w:val="Hyperlink"/>
          </w:rPr>
          <w:t xml:space="preserve">https://doi.org/10.1007/s11575-010-0029-0</w:t>
        </w:r>
      </w:hyperlink>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72">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w:t>
      </w:r>
      <w:r>
        <w:t xml:space="preserve"> </w:t>
      </w:r>
      <w:hyperlink r:id="rId73">
        <w:r>
          <w:rPr>
            <w:rStyle w:val="Hyperlink"/>
          </w:rPr>
          <w:t xml:space="preserve">https://doi.org/10.5267/j.ac.2020.9.006</w:t>
        </w:r>
      </w:hyperlink>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w:t>
      </w:r>
      <w:r>
        <w:t xml:space="preserve"> </w:t>
      </w:r>
      <w:r>
        <w:t xml:space="preserve">Internationalization and innovation of business groups: Evidence from</w:t>
      </w:r>
      <w:r>
        <w:t xml:space="preserve"> </w:t>
      </w:r>
      <w:r>
        <w:t xml:space="preserve">China.</w:t>
      </w:r>
      <w:r>
        <w:t xml:space="preserve"> </w:t>
      </w:r>
      <w:r>
        <w:rPr>
          <w:iCs/>
          <w:i/>
        </w:rPr>
        <w:t xml:space="preserve">Journal of World Business, 54</w:t>
      </w:r>
      <w:r>
        <w:t xml:space="preserve">(4), 305–320.</w:t>
      </w:r>
    </w:p>
    <w:bookmarkEnd w:id="78"/>
    <w:bookmarkStart w:id="79"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9"/>
    <w:bookmarkStart w:id="80"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07/s11575-010-0029-0" TargetMode="External" /><Relationship Type="http://schemas.openxmlformats.org/officeDocument/2006/relationships/hyperlink" Id="rId74"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5" Target="https://doi.org/10.1057/jibs.2009.24" TargetMode="External" /><Relationship Type="http://schemas.openxmlformats.org/officeDocument/2006/relationships/hyperlink" Id="rId70"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4" Target="https://doi.org/10.1057/palgrave.jibs.8490676" TargetMode="External" /><Relationship Type="http://schemas.openxmlformats.org/officeDocument/2006/relationships/hyperlink" Id="rId68" Target="https://doi.org/10.1080/00031305.2000.10474549" TargetMode="External" /><Relationship Type="http://schemas.openxmlformats.org/officeDocument/2006/relationships/hyperlink" Id="rId67"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9"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3" Target="https://doi.org/10.5267/j.ac.2020.9.006" TargetMode="External" /><Relationship Type="http://schemas.openxmlformats.org/officeDocument/2006/relationships/hyperlink" Id="rId63" Target="https://doi.org/10.5465/amr.1984.4277628" TargetMode="External" /><Relationship Type="http://schemas.openxmlformats.org/officeDocument/2006/relationships/hyperlink" Id="rId62" Target="https://doi.org/10.5465/amr.2007.24345254" TargetMode="External" /><Relationship Type="http://schemas.openxmlformats.org/officeDocument/2006/relationships/hyperlink" Id="rId61" Target="https://doi.org/10.5772/intechopen.1011012"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07/s11575-010-0029-0" TargetMode="External" /><Relationship Type="http://schemas.openxmlformats.org/officeDocument/2006/relationships/hyperlink" Id="rId74"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5" Target="https://doi.org/10.1057/jibs.2009.24" TargetMode="External" /><Relationship Type="http://schemas.openxmlformats.org/officeDocument/2006/relationships/hyperlink" Id="rId70"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4" Target="https://doi.org/10.1057/palgrave.jibs.8490676" TargetMode="External" /><Relationship Type="http://schemas.openxmlformats.org/officeDocument/2006/relationships/hyperlink" Id="rId68" Target="https://doi.org/10.1080/00031305.2000.10474549" TargetMode="External" /><Relationship Type="http://schemas.openxmlformats.org/officeDocument/2006/relationships/hyperlink" Id="rId67"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9"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3" Target="https://doi.org/10.5267/j.ac.2020.9.006" TargetMode="External" /><Relationship Type="http://schemas.openxmlformats.org/officeDocument/2006/relationships/hyperlink" Id="rId63" Target="https://doi.org/10.5465/amr.1984.4277628" TargetMode="External" /><Relationship Type="http://schemas.openxmlformats.org/officeDocument/2006/relationships/hyperlink" Id="rId62" Target="https://doi.org/10.5465/amr.2007.24345254" TargetMode="External" /><Relationship Type="http://schemas.openxmlformats.org/officeDocument/2006/relationships/hyperlink" Id="rId61" Target="https://doi.org/10.5772/intechopen.1011012"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2026-06-09T08:19:20Z</dcterms:created>
  <dcterms:modified xsi:type="dcterms:W3CDTF">2026-06-09T08:19:20Z</dcterms:modified>
</cp:coreProperties>
</file>

<file path=docProps/custom.xml><?xml version="1.0" encoding="utf-8"?>
<Properties xmlns="http://schemas.openxmlformats.org/officeDocument/2006/custom-properties" xmlns:vt="http://schemas.openxmlformats.org/officeDocument/2006/docPropsVTypes"/>
</file>