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1befdef1a3d3bbb6becbb285b966567b1f4ed35"/>
    <w:p>
      <w:pPr>
        <w:pStyle w:val="Heading1"/>
      </w:pPr>
      <w:r>
        <w:t xml:space="preserve">Where Internationalization Pays: Institutional Regime and Digital Capability as Joint Determinants of the Performance Optimum across 49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turning point is</w:t>
      </w:r>
      <w:r>
        <w:t xml:space="preserve"> </w:t>
      </w:r>
      <w:r>
        <w:rPr>
          <w:iCs/>
          <w:i/>
        </w:rPr>
        <w:t xml:space="preserve">jointly relocated</w:t>
      </w:r>
      <w:r>
        <w:t xml:space="preserve"> </w:t>
      </w:r>
      <w:r>
        <w:t xml:space="preserve">by the institutional regime in which a firm operates and by the firm’s digital capability — and in which digital capability operates as a partial</w:t>
      </w:r>
      <w:r>
        <w:t xml:space="preserve"> </w:t>
      </w:r>
      <w:r>
        <w:rPr>
          <w:iCs/>
          <w:i/>
        </w:rPr>
        <w:t xml:space="preserve">substitute</w:t>
      </w:r>
      <w:r>
        <w:t xml:space="preserve"> </w:t>
      </w:r>
      <w:r>
        <w:t xml:space="preserve">for institutional strength rather than as a uniform enhancer. Using harmonised microdata from 91,982 firm-observations (baseline estimation sample N = 84,910 after non-missing productivity and export-intensity requirements; 29,840 in the fully specified model) across 49 economies and 102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36% of sales from exports (Lind–Mehlum test p &lt; .001; confirmed in M11 at TP=34.6%, p=.002). Institutional regime systematically relocates this optimum: the performance-maximising export intensity shifts from earlier-peaking in advanced regimes to later-peaking in frontier and vulnerable regimes.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.012),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91,982 firm-observations from 49 Asian and Pacific economies spanning 2003–2025, harmonised from the World Bank Enterprise Survey (WBES); after imposing non-missing productivity and export-intensity requirements, the baseline estimation sample is 84,910 firm-observations (falling to 29,840 in the fully specified model M11).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turning point is endogenous to the institutional regime, shifting from earlier-peaking in advanced regimes toward later-peaking in frontier and vulnerable ones (confirmed across specifications at N = 84,910–29,840; M11: TP = 34.6%, Lind–Mehlum p = .002).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.012),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performance-maximising turning point is</w:t>
      </w:r>
      <w:r>
        <w:t xml:space="preserve"> </w:t>
      </w:r>
      <w:r>
        <w:rPr>
          <w:iCs/>
          <w:i/>
        </w:rPr>
        <w:t xml:space="preserve">jointly relocated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imposing those requirements yields the M2 baseline estimation sample of 84,910 firm-observations, falling to 29,840 in M11 as digital-capability and managerial controls are added.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9" w:name="discussion"/>
    <w:p>
      <w:pPr>
        <w:pStyle w:val="Heading2"/>
      </w:pPr>
      <w:r>
        <w:t xml:space="preserve">5. Discussion</w:t>
      </w:r>
    </w:p>
    <w:bookmarkStart w:id="43"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the turning point is not a fixed structural parameter: it migrates with institutional quality (H5), from early-peaking in advanced regimes to late-peaking in frontier and vulnerable ones. This dissolves the apparent contradiction between studies reporting positive-linear, inverted-U, and null effects (§5.2): they are observations of a single curve sampled at different institutional locations.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optimum</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+0.060, p = .012)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49 economies, providing a transportable scaffold for theorising firm strategy under heterogeneous institutional regimes.</w:t>
      </w:r>
    </w:p>
    <w:bookmarkEnd w:id="43"/>
    <w:bookmarkStart w:id="44"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4"/>
    <w:bookmarkStart w:id="45"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5"/>
    <w:bookmarkStart w:id="46"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6"/>
    <w:bookmarkStart w:id="47"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7"/>
    <w:bookmarkStart w:id="48"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8"/>
    <w:bookmarkEnd w:id="49"/>
    <w:bookmarkStart w:id="50" w:name="conclusions"/>
    <w:p>
      <w:pPr>
        <w:pStyle w:val="Heading2"/>
      </w:pPr>
      <w:r>
        <w:t xml:space="preserve">6. Conclusions</w:t>
      </w:r>
    </w:p>
    <w:p>
      <w:pPr>
        <w:pStyle w:val="FirstParagraph"/>
      </w:pPr>
      <w:r>
        <w:t xml:space="preserve">This study set out to explain not whether internationalization pays, but where and for whom. Across a 49-economy, 102-wave WBES sample, the inverted-U I–P relationship is universal in form — peaking at approximately 36% export intensity — yet its optimum is jointly relocated by institutional regime and digital capability, and digital capability operates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.012)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0"/>
    <w:bookmarkStart w:id="51"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1"/>
    <w:bookmarkStart w:id="52"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2"/>
    <w:bookmarkStart w:id="53"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2026-05-26T09:27:21Z</dcterms:created>
  <dcterms:modified xsi:type="dcterms:W3CDTF">2026-05-26T09:27:21Z</dcterms:modified>
</cp:coreProperties>
</file>

<file path=docProps/custom.xml><?xml version="1.0" encoding="utf-8"?>
<Properties xmlns="http://schemas.openxmlformats.org/officeDocument/2006/custom-properties" xmlns:vt="http://schemas.openxmlformats.org/officeDocument/2006/docPropsVTypes"/>
</file>