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80f7a07cbc3f53dbef3c88240a0ce7e6a60b02"/>
    <w:p>
      <w:pPr>
        <w:pStyle w:val="Heading1"/>
      </w:pPr>
      <w:r>
        <w:t xml:space="preserve">Quốc Tế Hóa Sinh Lợi ở Đâu: Chế Độ Thể Chế và Năng Lực Số như Những Nhân Tố Đồng Xác Định Điểm Tối Ưu Hiệu Quả trên 49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 điểm ngưỡng (turning point) của nó được</w:t>
      </w:r>
      <w:r>
        <w:t xml:space="preserve"> </w:t>
      </w:r>
      <w:r>
        <w:rPr>
          <w:iCs/>
          <w:i/>
        </w:rPr>
        <w:t xml:space="preserve">tái định vị một cách đồng thời</w:t>
      </w:r>
      <w:r>
        <w:t xml:space="preserve"> </w:t>
      </w:r>
      <w:r>
        <w:t xml:space="preserve">bởi chế độ thể chế nơi doanh nghiệp hoạt động và bởi năng lực số của chính doanh nghiệp;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91.982 quan sát doanh nghiệp (mẫu ước lượng cơ sở N = 84.910 sau khi áp dụng yêu cầu không thiếu về năng suất và cường độ xuất khẩu; 29.840 ở mô hình đầy đủ) tại 49 nền kinh tế và 102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36% doanh số từ xuất khẩu (kiểm định Lind–Mehlum p &lt; ,001; được xác nhận trong M11 với TP = 34,6%, p = ,002). Chế độ thể chế tái định vị có hệ thống điểm tối ưu này: cường độ xuất khẩu tối đa hóa hiệu quả dịch chuyển từ đạt đỉnh sớm ở các chế độ tiên tiến sang đạt đỉnh muộn ở các chế độ tiên phong và dễ tổn thương.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,012),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 Advanced Innovation) đến ~55% (Nhóm V–VI — Frontier/SIDS).</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91.982 quan sát doanh nghiệp từ 49 nền kinh tế châu Á và Thái Bình Dương giai đoạn 2003–2025, được chuẩn hóa từ WBES; sau khi áp dụng yêu cầu không thiếu về năng suất và cường độ xuất khẩu, mẫu ước lượng cơ sở là 84.910 quan sát doanh nghiệp (giảm còn 29.840 ở mô hình đầy đủ M11). Mẫu bao trùm cả sáu nhóm chế độ ICRV —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Oman)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điểm ngưỡng của nó lại nội sinh với chế độ thể chế, dịch chuyển từ đạt đỉnh sớm ở các chế độ tiên tiến sang đạt đỉnh muộn ở các chế độ tiên phong và dễ tổn thương (được xác nhận qua các đặc tả ở N = 84.910–29.840; M11: TP = 34,6%, kiểm định Lind–Mehlum p = ,002).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,012),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 điểm ngưỡng tối đa hóa hiệu quả của nó lại được</w:t>
      </w:r>
      <w:r>
        <w:t xml:space="preserve"> </w:t>
      </w:r>
      <w:r>
        <w:rPr>
          <w:iCs/>
          <w:i/>
        </w:rPr>
        <w:t xml:space="preserve">tái định vị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Síp)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49 nền kinh tế châu Á và Thái Bình Dương qua 102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khi áp dụng các yêu cầu này, mẫu ước lượng cơ sở M2 là 84.910 quan sát doanh nghiệp, giảm còn 29.840 ở M11 khi thêm các biến kiểm soát năng lực số và nhà quản trị. Dữ liệu hiện có của Oman (năm 2003) có từ trước các biến năng lực số sử dụng trong M6–M11; nó đóng góp cho M2 nhưng bị loại khỏi M3+ do thiếu biến kiểm soát.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3"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+1,316 (p &lt; ,001) và β₂ = −1,810 (p &lt; ,001), nhất quán với hình chữ U ngược. Theo Haans, Pieters và He (2016), cả bốn điều kiện chính thức cho hình chữ U ngược thực sự đều thỏa mãn trong M2: (C1) β₁ = +1,316 (p &lt; ,001), xác nhận nhánh lên dương tính; (C2) β₂ = −1,810 (p &lt; ,001), xác nhận độ lõm; (C3) điểm ngưỡng TP* ≈ 36,4% nằm trong phạm vi quan sát FSTS [0%, 100%]; và (C4) hiệu ứng biên của quốc tế hóa là dương tính tại ranh giới dữ liệu thấp hơn (FSTS ≈ 0%, độ dốc ≈ +1,32) và âm tính tại ranh giới trên (FSTS ≈ 100%, độ dốc ≈ −2,30), với các dấu ngược chiều được xác nhận bởi kiểm định u Lind–Mehlum (2010) (p chung &lt; ,001). Hình chữ U ngược vẫn có ý nghĩa khi thêm biến kiểm soát (M3: TP = 33,8%, LM p &lt; ,001) và khi FE quốc gia-năm hấp thụ toàn bộ không đồng nhất quốc gia không quan sát được biến thiên theo thời gian (M5: TP = 40,0%, LM p &lt; ,001, adjR² = ,677). Sự nhất quán của điểm ngưỡng qua M2, M3 và M5 — dao động từ 33,8% đến 40,0%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khoảng 36%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+0,321, p &lt; ,001) nâng adjR² từ ,015 lên ,024. Mô hình tương tác M7 thêm FSTS×TCI và FSTS²×TCI. Kết quả cho thấy:</w:t>
      </w:r>
    </w:p>
    <w:p>
      <w:pPr>
        <w:numPr>
          <w:ilvl w:val="0"/>
          <w:numId w:val="1002"/>
        </w:numPr>
        <w:pStyle w:val="Compact"/>
      </w:pPr>
      <w:r>
        <w:t xml:space="preserve">Tác động chính TCI: β = +0,344 (p &lt; ,001) — TCI cao hơn nâng cao hiệu quả cơ sở</w:t>
      </w:r>
    </w:p>
    <w:p>
      <w:pPr>
        <w:numPr>
          <w:ilvl w:val="0"/>
          <w:numId w:val="1002"/>
        </w:numPr>
        <w:pStyle w:val="Compact"/>
      </w:pPr>
      <w:r>
        <w:t xml:space="preserve">FSTS×TCI: β = −0,144 (NS) — tương tác nhánh lên không có ý nghĩa thống kê</w:t>
      </w:r>
    </w:p>
    <w:p>
      <w:pPr>
        <w:numPr>
          <w:ilvl w:val="0"/>
          <w:numId w:val="1002"/>
        </w:numPr>
        <w:pStyle w:val="Compact"/>
      </w:pPr>
      <w:r>
        <w:t xml:space="preserve">FSTS²×TCI: β = −0,137 (NS trong M7; vẫn NS trong M8, p = ,129)</w:t>
      </w:r>
    </w:p>
    <w:p>
      <w:pPr>
        <w:pStyle w:val="FirstParagraph"/>
      </w:pPr>
      <w:r>
        <w:t xml:space="preserve">Kiểm định F chung cho hai số hạng tương tác TCI không có ý nghĩa thống kê qua M7–M9. Hình chữ U ngược vẫn được xác nhận trong M7 (TP = 33,9%, LM p &lt; ,001). Tăng một độ lệch chuẩn TCI nâng năng suất lao động lên exp(0,344) − 1 ≈ 41%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+0,155, p &lt; ,001), nhất quán với phần bù hiệu quả khoảng 17% cho các doanh nghiệp hoạt động số (exp(0,155) − 1 ≈ 17%). Đáng chú ý là cả hai số hạng tương tác DAI đều có ý nghĩa thống kê trong M8: FSTS×DAI = −0,614 (p &lt; ,001,</w:t>
      </w:r>
      <w:r>
        <w:t xml:space="preserve"> </w:t>
      </w:r>
      <w:r>
        <w:rPr>
          <w:bCs/>
          <w:b/>
          <w:iCs/>
          <w:i/>
        </w:rPr>
        <w:t xml:space="preserve">) và FSTS²×DAI = +0,766 (p = ,001,</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−0,780 (p &lt; ,001,</w:t>
      </w:r>
      <w:r>
        <w:rPr>
          <w:iCs/>
          <w:i/>
        </w:rPr>
        <w:t xml:space="preserve"> </w:t>
      </w:r>
      <w:r>
        <w:rPr>
          <w:bCs/>
          <w:b/>
        </w:rPr>
        <w:t xml:space="preserve">) và FSTS²×DAI = +0,994 (p &lt; ,001,</w:t>
      </w:r>
      <w:r>
        <w:rPr>
          <w:bCs/>
          <w:b/>
        </w:rPr>
        <w:t xml:space="preserve"> </w:t>
      </w:r>
      <w:r>
        <w:t xml:space="preserve">*). Hình chữ U ngược được duy trì trong cả hai đặc tả (M8: TP = 33,8%; M9: TP = 36,1%).</w:t>
      </w:r>
    </w:p>
    <w:p>
      <w:pPr>
        <w:pStyle w:val="BodyText"/>
      </w:pPr>
      <w:r>
        <w:rPr>
          <w:bCs/>
          <w:b/>
        </w:rPr>
        <w:t xml:space="preserve">H3 được ủng hộ.</w:t>
      </w:r>
      <w:r>
        <w:t xml:space="preserve"> </w:t>
      </w:r>
      <w:r>
        <w:t xml:space="preserve">DAI nâng cao hiệu quả doanh nghiệp khoảng 16%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+0,007, p = ,026) và nhà quản lý nữ cấp cao (β = +0,185, p &lt; ,001) đều nâng cao hiệu quả doanh nghiệp độc lập với FSTS trong M9. Hiệu ứng kinh nghiệm ngụ ý khoảng 0,7% năng suất lao động cao hơn trên mỗi năm kinh nghiệm ngành bổ sung; hiệu ứng nhà quản lý nữ cấp cao ngụ ý khoảng 20% phần bù hiệu quả (exp(0,185) − 1 ≈ 20%). Tương tác FSTS×kinh_nghiệm_nhà_quản_lý không có ý nghĩa thống kê trong M9 (β = −0,012, p = ,133), nhưng đạt p = ,053 trong M11 (β = −0,019, †)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+0,763, p &lt; ,001) cho thấy — khi kiểm soát TCI, DAI và đặc điểm doanh nghiệp — mỗi bậc tiến lên thang đo ICRV (từ Nhóm I đến Nhóm VI, tức từ thể chế mạnh hơn đến yếu hơn) tương quan với mức năng suất lao động cao hơn khoảng 115% (exp(0,763)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+1,762, p &lt; ,001) và FSTS²×ICRV (β = −2,746, p &lt; ,001). Điều này cho thấy độ dốc lên của đường cong I–P dốc hơn ở các nền kinh tế thể chế yếu hơn (nhóm ICRV cao hơn), nhưng độ dốc xuống cũng vậy —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 Đổi mới tiên tiến), điểm ngưỡng ước tính là khoảng 28%; với Nhóm V–VI (Frontier/SIDS — Tiên phong/Quốc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34,6%, LM p = ,002), thiết lập rằng hình chữ U ngược giữ vững ngay cả trong đặc tả đòi hỏi nhất. Tương tác DAI×ICRV (β = +0,060, p = ,012, *) có ý nghĩa thống kê, nhất quán với dự đoán CDCM rằng năng lực số cung cấp hiệu ứng hiệu quả mạnh hơn trên mỗi đơn vị trong môi trường thể chế yếu hơn. Số hạng ba chiều FSTS×DAI×ICRV (β = −0,001,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p>
      <w:r>
        <w:pict>
          <v:rect style="width:0;height:1.5pt" o:hralign="center" o:hrstd="t" o:hr="t"/>
        </w:pict>
      </w:r>
    </w:p>
    <w:bookmarkEnd w:id="42"/>
    <w:bookmarkEnd w:id="43"/>
    <w:bookmarkStart w:id="50" w:name="thảo-luận"/>
    <w:p>
      <w:pPr>
        <w:pStyle w:val="Heading2"/>
      </w:pPr>
      <w:r>
        <w:t xml:space="preserve">5. Thảo Luận</w:t>
      </w:r>
    </w:p>
    <w:bookmarkStart w:id="44"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 điểm ngưỡng không phải là một tham số cấu trúc cố định: nó dịch chuyển theo chất lượng thể chế (H5), từ đạt đỉnh sớm ở các chế độ tiên tiến sang đạt đỉnh muộn ở các chế độ tiên phong và dễ tổn thương.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+0,060, p = ,012)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49 nền kinh tế, qua đó cung cấp một giàn khung có thể chuyển giao để lý thuyết hóa chiến lược doanh nghiệp trong các chế độ thể chế không đồng nhất.</w:t>
      </w:r>
    </w:p>
    <w:bookmarkEnd w:id="44"/>
    <w:bookmarkStart w:id="45"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36% cường độ doanh số nước ngoài, vững trên 49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5"/>
    <w:bookmarkStart w:id="46"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6"/>
    <w:bookmarkStart w:id="47"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+0,060, p = ,012)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7"/>
    <w:bookmarkStart w:id="48"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8"/>
    <w:bookmarkStart w:id="49"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9"/>
    <w:bookmarkEnd w:id="50"/>
    <w:bookmarkStart w:id="51"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49 nền kinh tế và 102 đợt khảo sát, mối quan hệ I–P hình chữ U ngược mang tính phổ quát về dạng thức — đạt đỉnh ở khoảng 36% cường độ xuất khẩu — song điểm tối ưu của nó lại được tái định vị một cách đồng thời bởi chế độ thể chế và năng lực số, và năng lực số vận hành như một nhân tố thay thế một phần cho sức mạnh thể chế. Ba hàm ý được rút ra. Đối với các doanh nghiệp ở nhánh lên (FSTS &lt; 36%),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,012)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1"/>
    <w:bookmarkStart w:id="52"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34,6%, LM p = ,002): DAI×ICRV = +0,060</w:t>
      </w:r>
      <w:r>
        <w:rPr>
          <w:iCs/>
          <w:i/>
        </w:rPr>
        <w:t xml:space="preserve">, ba chiều FSTS×DAI×ICRV = −0,001 (NS), mgr_experience = +0,009</w:t>
      </w:r>
      <w:r>
        <w:rPr>
          <w:bCs/>
          <w:b/>
          <w:iCs/>
          <w:i/>
        </w:rPr>
        <w:t xml:space="preserve">, FSTS×mgr = −0,019†, mgr_female = +0,187</w:t>
      </w:r>
      <w:r>
        <w:t xml:space="preserve">, female_owner = +0,128**.</w:t>
      </w:r>
    </w:p>
    <w:p>
      <w:r>
        <w:pict>
          <v:rect style="width:0;height:1.5pt" o:hralign="center" o:hrstd="t" o:hr="t"/>
        </w:pict>
      </w:r>
    </w:p>
    <w:bookmarkEnd w:id="53"/>
    <w:bookmarkStart w:id="54"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2026-05-26T09:27:22Z</dcterms:created>
  <dcterms:modified xsi:type="dcterms:W3CDTF">2026-05-26T09:27:22Z</dcterms:modified>
</cp:coreProperties>
</file>

<file path=docProps/custom.xml><?xml version="1.0" encoding="utf-8"?>
<Properties xmlns="http://schemas.openxmlformats.org/officeDocument/2006/custom-properties" xmlns:vt="http://schemas.openxmlformats.org/officeDocument/2006/docPropsVTypes"/>
</file>