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8,500 words</w:t>
            </w:r>
          </w:p>
        </w:tc>
      </w:tr>
      <w:tr>
        <w:tc>
          <w:tcPr/>
          <w:p>
            <w:pPr>
              <w:pStyle w:val="Compact"/>
              <w:jc w:val="left"/>
            </w:pPr>
            <w:r>
              <w:t xml:space="preserve">Tables</w:t>
            </w:r>
          </w:p>
        </w:tc>
        <w:tc>
          <w:tcPr/>
          <w:p>
            <w:pPr>
              <w:pStyle w:val="Compact"/>
              <w:jc w:val="left"/>
            </w:pPr>
            <w:r>
              <w:t xml:space="preserve">12 (inline; including hierarchical regression Table 2, marginal-effects Table 4, robustness Table 3, plus 9 supplementary tables for descriptive statistics and Sections 4.5 diagnostics)</w:t>
            </w:r>
          </w:p>
        </w:tc>
      </w:tr>
      <w:tr>
        <w:tc>
          <w:tcPr/>
          <w:p>
            <w:pPr>
              <w:pStyle w:val="Compact"/>
              <w:jc w:val="left"/>
            </w:pPr>
            <w:r>
              <w:t xml:space="preserve">Figures</w:t>
            </w:r>
          </w:p>
        </w:tc>
        <w:tc>
          <w:tcPr/>
          <w:p>
            <w:pPr>
              <w:pStyle w:val="Compact"/>
              <w:jc w:val="left"/>
            </w:pPr>
            <w:r>
              <w:t xml:space="preserve">10 (inline; conceptual model Figure 1, DAI marginal-effects Figure 2, predicted I–P curve Figure 3, plus 7 supplementary diagnostic figures)</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2026-05-30T16:30:25Z</dcterms:created>
  <dcterms:modified xsi:type="dcterms:W3CDTF">2026-05-30T16:30:25Z</dcterms:modified>
</cp:coreProperties>
</file>

<file path=docProps/custom.xml><?xml version="1.0" encoding="utf-8"?>
<Properties xmlns="http://schemas.openxmlformats.org/officeDocument/2006/custom-properties" xmlns:vt="http://schemas.openxmlformats.org/officeDocument/2006/docPropsVTypes"/>
</file>