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3895c96c7d432e76596cd34868f5fb5db9dd671"/>
    <w:p>
      <w:pPr>
        <w:pStyle w:val="Heading1"/>
      </w:pPr>
      <w:r>
        <w:t xml:space="preserve">Internationalisation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 / Management International Review (MIR)</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internationalisation–performance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internationalisation–performance;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internationalisation translates into firm performance.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some studies report positive relationships (Pangarkar, 2008; Korea), others inverted-U curves (Chiao et al., 2006; Taiwan), and still others find null or negative effects (Mondal et al., 2022; India). The standard explanation invokes context as a moderator,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8"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internationalisation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internationalisation carries fixed entry costs that depress performance; intermediate internationalisation yields learning and scale economies; high internationalisation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internationalisation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reduces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for all firms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internationalisation costs, so the turning point occurs earlier. Equivalently, holding FSTS constant, firms in stronger institutional regimes earn higher returns per unit of internationalisation.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p>
      <w:r>
        <w:pict>
          <v:rect style="width:0;height:1.5pt" o:hralign="center" o:hrstd="t" o:hr="t"/>
        </w:pict>
      </w:r>
    </w:p>
    <w:bookmarkEnd w:id="27"/>
    <w:bookmarkEnd w:id="28"/>
    <w:bookmarkStart w:id="33" w:name="data-and-methods"/>
    <w:p>
      <w:pPr>
        <w:pStyle w:val="Heading2"/>
      </w:pPr>
      <w:r>
        <w:t xml:space="preserve">3. Data and Methods</w:t>
      </w:r>
    </w:p>
    <w:bookmarkStart w:id="29"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29"/>
    <w:bookmarkStart w:id="30"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0"/>
    <w:bookmarkStart w:id="31"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SD(FSTS) + mean(FSTS).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1"/>
    <w:bookmarkStart w:id="32"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2"/>
    <w:bookmarkEnd w:id="33"/>
    <w:bookmarkStart w:id="41" w:name="results"/>
    <w:p>
      <w:pPr>
        <w:pStyle w:val="Heading2"/>
      </w:pPr>
      <w:r>
        <w:t xml:space="preserve">4. Results</w:t>
      </w:r>
    </w:p>
    <w:bookmarkStart w:id="34"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4"/>
    <w:bookmarkStart w:id="35"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The Lind–Mehlum test confirms concavity (joint p &lt; .001) with a turning point at</w:t>
      </w:r>
      <w:r>
        <w:t xml:space="preserve"> </w:t>
      </w:r>
      <w:r>
        <w:rPr>
          <w:bCs/>
          <w:b/>
        </w:rPr>
        <w:t xml:space="preserve">FSTS = 36.4%</w:t>
      </w:r>
      <w:r>
        <w:t xml:space="preserve"> </w:t>
      </w:r>
      <w:r>
        <w:t xml:space="preserve">of sales from exports.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5"/>
    <w:bookmarkStart w:id="36"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6"/>
    <w:bookmarkStart w:id="37"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significant (β = +0.155, p &lt; .001), consistent with approximately a 17% performance premium for digitally active firms (exp(0.155) − 1 ≈ 17%). Strikingly, both DAI interaction terms are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7"/>
    <w:bookmarkStart w:id="38"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is marginally significant in M11 (β = −0.019, p = .053,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8"/>
    <w:bookmarkStart w:id="39"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internationalisation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39"/>
    <w:bookmarkStart w:id="40" w:name="full-three-way-moderation-h7-p7"/>
    <w:p>
      <w:pPr>
        <w:pStyle w:val="Heading3"/>
      </w:pPr>
      <w:r>
        <w:t xml:space="preserve">4.7 Full Three-Way Moderation (H7-P7)</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H7-P7 (three-way interaction) is not confirmed; M11 inverted-U is confirmed.</w:t>
      </w:r>
      <w:r>
        <w:t xml:space="preserve"> </w:t>
      </w:r>
      <w:r>
        <w:t xml:space="preserve">The DAI×ICRV main interaction is significant (p = .012), supporting regime-contingent digital effects. The three-way FSTS curve-reshaping via DAI×ICRV does not reach significance — the WBES DAI measure’s limited dimensionality (Tier 1–2 only) likely constrains detection of the full CDCM-predicted interaction.</w:t>
      </w:r>
    </w:p>
    <w:p>
      <w:r>
        <w:pict>
          <v:rect style="width:0;height:1.5pt" o:hralign="center" o:hrstd="t" o:hr="t"/>
        </w:pict>
      </w:r>
    </w:p>
    <w:bookmarkEnd w:id="40"/>
    <w:bookmarkEnd w:id="41"/>
    <w:bookmarkStart w:id="47" w:name="discussion"/>
    <w:p>
      <w:pPr>
        <w:pStyle w:val="Heading2"/>
      </w:pPr>
      <w:r>
        <w:t xml:space="preserve">5. Discussion</w:t>
      </w:r>
    </w:p>
    <w:bookmarkStart w:id="42"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2"/>
    <w:bookmarkStart w:id="43"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3"/>
    <w:bookmarkStart w:id="44"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4"/>
    <w:bookmarkStart w:id="45" w:name="managerial-heterogeneity"/>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internationalisation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5"/>
    <w:bookmarkStart w:id="46"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6"/>
    <w:bookmarkEnd w:id="47"/>
    <w:bookmarkStart w:id="48" w:name="conclusions"/>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internationalisation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8"/>
    <w:bookmarkStart w:id="49"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Internationalisation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49"/>
    <w:bookmarkStart w:id="50"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0"/>
    <w:bookmarkStart w:id="51"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2026-05-11T07:40:56Z</dcterms:created>
  <dcterms:modified xsi:type="dcterms:W3CDTF">2026-05-11T07:40:56Z</dcterms:modified>
</cp:coreProperties>
</file>

<file path=docProps/custom.xml><?xml version="1.0" encoding="utf-8"?>
<Properties xmlns="http://schemas.openxmlformats.org/officeDocument/2006/custom-properties" xmlns:vt="http://schemas.openxmlformats.org/officeDocument/2006/docPropsVTypes"/>
</file>