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w:t>
      </w:r>
      <m:oMath>
        <m:r>
          <m:t>91.982</m:t>
        </m:r>
      </m:oMath>
      <w:r>
        <w:t xml:space="preserve">, 49 nền kinh tế) — đều chỉ đến cùng một kết luận: điểm uốn (turning point) của quan hệ I→P</w:t>
      </w:r>
      <w:r>
        <w:t xml:space="preserve"> </w:t>
      </w:r>
      <w:r>
        <w:rPr>
          <w:bCs/>
          <w:b/>
        </w:rPr>
        <w:t xml:space="preserve">giảm dần</w:t>
      </w:r>
      <w:r>
        <w:t xml:space="preserve"> </w:t>
      </w:r>
      <w:r>
        <w:t xml:space="preserve">theo chiều từ SIDS/Frontier (~55% FSTS) xuống Emerging, Upper-middle, Advanced Resource, và Advanced Innovation (~28% FSTS).</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Kết quả DAI×ICRV (</w:t>
      </w:r>
      <m:oMath>
        <m:r>
          <m:t>p</m:t>
        </m:r>
        <m:r>
          <m:rPr>
            <m:sty m:val="p"/>
          </m:rPr>
          <m:t>=</m:t>
        </m:r>
        <m:r>
          <m:rPr>
            <m:sty m:val="p"/>
          </m:rPr>
          <m:t>,</m:t>
        </m:r>
        <m:r>
          <m:t>012</m:t>
        </m:r>
      </m:oMath>
      <w:r>
        <w:t xml:space="preserve">) cho thấy DAI</w:t>
      </w:r>
      <w:r>
        <w:t xml:space="preserve"> </w:t>
      </w:r>
      <w:r>
        <w:rPr>
          <w:bCs/>
          <w:b/>
        </w:rPr>
        <w:t xml:space="preserve">mạnh hơn</w:t>
      </w:r>
      <w:r>
        <w:t xml:space="preserve"> </w:t>
      </w:r>
      <w:r>
        <w:t xml:space="preserve">tại các bối cảnh thể chế yếu hơn — "digital shield effect" phát huy mạnh nhất khi nền tảng thể chế còn thiếu hụt, bù đắp cho các "institutional voids".</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compensatory resource</w:t>
      </w:r>
      <w:r>
        <w:t xml:space="preserve"> </w:t>
      </w:r>
      <w:r>
        <w:t xml:space="preserve">— tác động mạnh nhất khi thể chế không đủ để hỗ trợ quốc tế hóa, không phải chỉ khi hệ sinh thái số đã trưởng thành.</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w:t>
      </w:r>
      <w:r>
        <w:t xml:space="preserve"> </w:t>
      </w:r>
      <m:oMath>
        <m:r>
          <m:t>N</m:t>
        </m:r>
        <m:r>
          <m:rPr>
            <m:sty m:val="p"/>
          </m:rPr>
          <m:t>=</m:t>
        </m:r>
        <m:r>
          <m:t>84.910</m:t>
        </m:r>
      </m:oMath>
      <w:r>
        <w:t xml:space="preserve">–</w:t>
      </w:r>
      <m:oMath>
        <m:r>
          <m:t>91.982</m:t>
        </m:r>
      </m:oMath>
      <w:r>
        <w:t xml:space="preserve"> </w:t>
      </w:r>
      <w:r>
        <w:t xml:space="preserve">doanh nghiệp · 49 nền kinh tế · 102 country-year waves, TP≈36%, gradient ICRV</w:t>
      </w:r>
      <w:r>
        <w:t xml:space="preserve"> </w:t>
      </w:r>
      <w:r>
        <w:rPr>
          <w:bCs/>
          <w:b/>
        </w:rPr>
        <w:t xml:space="preserve">giảm</w:t>
      </w:r>
      <w:r>
        <w:t xml:space="preserve"> </w:t>
      </w:r>
      <w:r>
        <w:t xml:space="preserve">từ SIDS/Frontier (~55%) xuống Advanced Innovation (~28%), TCI level effect β≈+0,344**, DAI level effect phổ quát β=+0,155*** + DAI×ICRV p=.012 (digital shield mạnh nhất khi thể chế yếu).</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và 36.137 doanh nghiệp ở 47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tăng dần của chất lượng thể chế theo ICRV.</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2026-05-15T17:56:25Z</dcterms:created>
  <dcterms:modified xsi:type="dcterms:W3CDTF">2026-05-15T17:56:25Z</dcterms:modified>
</cp:coreProperties>
</file>

<file path=docProps/custom.xml><?xml version="1.0" encoding="utf-8"?>
<Properties xmlns="http://schemas.openxmlformats.org/officeDocument/2006/custom-properties" xmlns:vt="http://schemas.openxmlformats.org/officeDocument/2006/docPropsVTypes"/>
</file>