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không phải một ngoại lệ bên lề mà là điều kiện biên cực đoan làm lộ rõ chính cấu trúc lý thuyết của toàn bộ quan hệ I-P: khi cả ba tiền đề cấu trúc của đường cong chữ U ngược, gồm thị trường nội địa khả dụng, chi phí thương mại quản lý được, và thể chế hỗ trợ chức năng, đồng thời vắng mặt, thì dạng hàm phi tuyến quen thuộc không còn tồn tại. Cũng như một lý thuyết về lực hấp dẫn không thể trọn vẹn nếu né tránh điểm kỳ dị nơi các định luật thông thường sụp đổ, một lý thuyết về quan hệ I-P không thể xem trường hợp FIP như một phụ lục: luận án do đó đặt FIP làm một cực lý thuyết đối trọng trực tiếp với logic chữ U ngược truyền thống, ngay từ chương mở đầu.</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r>
        <w:t xml:space="preserve"> </w:t>
      </w:r>
      <w:r>
        <w:t xml:space="preserve"># CHƯƠNG 2: TỔNG QUAN TÀI LIỆU</w:t>
      </w:r>
    </w:p>
    <w:p>
      <w:pPr>
        <w:pStyle w:val="BodyText"/>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End w:id="31"/>
    <w:bookmarkStart w:id="37"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32"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32"/>
    <w:bookmarkStart w:id="33"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33"/>
    <w:bookmarkStart w:id="34"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34"/>
    <w:bookmarkStart w:id="35"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35"/>
    <w:bookmarkStart w:id="36"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36"/>
    <w:bookmarkEnd w:id="37"/>
    <w:bookmarkStart w:id="43"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38"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38"/>
    <w:bookmarkStart w:id="39"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39"/>
    <w:bookmarkStart w:id="40"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40"/>
    <w:bookmarkStart w:id="41"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41"/>
    <w:bookmarkStart w:id="42"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42"/>
    <w:bookmarkEnd w:id="43"/>
    <w:bookmarkStart w:id="47"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44"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44"/>
    <w:bookmarkStart w:id="45"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45"/>
    <w:bookmarkStart w:id="46"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46"/>
    <w:bookmarkEnd w:id="47"/>
    <w:bookmarkStart w:id="52"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48"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48"/>
    <w:bookmarkStart w:id="49"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robust.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49"/>
    <w:bookmarkStart w:id="50"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50"/>
    <w:bookmarkStart w:id="51"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51"/>
    <w:bookmarkEnd w:id="52"/>
    <w:bookmarkStart w:id="60" w:name="X571aebe6b94c63b04e26a653f6b78348d98b3f9"/>
    <w:p>
      <w:pPr>
        <w:pStyle w:val="Heading2"/>
      </w:pPr>
      <w:r>
        <w:t xml:space="preserve">2.5 Khoảng trống nghiên cứu và khung khái niệm, giả thuyết của luận án</w:t>
      </w:r>
    </w:p>
    <w:bookmarkStart w:id="53"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53"/>
    <w:bookmarkStart w:id="57"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p>
      <w:pPr>
        <w:pStyle w:val="CaptionedFigure"/>
      </w:pPr>
      <w:r>
        <w:drawing>
          <wp:inline>
            <wp:extent cx="5753100" cy="3860884"/>
            <wp:effectExtent b="0" l="0" r="0" t="0"/>
            <wp:docPr descr="Hình 2.1: Mô hình khái niệm thống nhất — CDCM" title="" id="55" name="Picture"/>
            <a:graphic>
              <a:graphicData uri="http://schemas.openxmlformats.org/drawingml/2006/picture">
                <pic:pic>
                  <pic:nvPicPr>
                    <pic:cNvPr descr="figures/figure_conceptual_model_unified.png" id="56" name="Picture"/>
                    <pic:cNvPicPr>
                      <a:picLocks noChangeArrowheads="1" noChangeAspect="1"/>
                    </pic:cNvPicPr>
                  </pic:nvPicPr>
                  <pic:blipFill>
                    <a:blip r:embed="rId54"/>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Mô hình khái niệm thống nhất — CDCM</w:t>
      </w:r>
    </w:p>
    <w:p>
      <w:pPr>
        <w:pStyle w:val="BodyText"/>
      </w:pPr>
      <w:r>
        <w:rPr>
          <w:iCs/>
          <w:i/>
        </w:rPr>
        <w:t xml:space="preserve">Hình 2.1.</w:t>
      </w:r>
      <w:r>
        <w:t xml:space="preserve"> </w:t>
      </w:r>
      <w:r>
        <w:t xml:space="preserve">Mô hình khái niệm thống nhất — Quốc tế hóa và Hiệu quả doanh nghiệp (CDCM: Context-Contingent Digital-and-Capability Model). Hình chữ nhật biểu thị biến quan sát được; hình ellipse biểu thị cấu trúc tiềm ẩn (TCI, ICRV, DAI). H1a (+) và H1b (−) xác định quan hệ phi tuyến chữ U ngược (điểm uốn ≈ 36%; điều kiện biên H1b: SIDS/FIP âm đơn điệu). H2 năng lực công nghệ TCI nâng mặt bằng hiệu quả (level-shift). H3 DAI tái định hình đường cong phụ thuộc bối cảnh. H5 ICRV chi phối độ cong/biên độ trong môi trường thể chế yếu. Mũi tên hai chiều đứt nét biểu thị thay thế số–thể chế (DAI×ICRV,</w:t>
      </w:r>
      <w:r>
        <w:t xml:space="preserve"> </w:t>
      </w:r>
      <m:oMath>
        <m:r>
          <m:t>p</m:t>
        </m:r>
      </m:oMath>
      <w:r>
        <w:t xml:space="preserve"> </w:t>
      </w:r>
      <w:r>
        <w:t xml:space="preserve">= ,049). Kiểm soát Bậc trên (H4) đặc điểm nhà quản trị đưa vào như biến kiểm soát quản trị nội sinh.</w:t>
      </w:r>
      <w:r>
        <w:t xml:space="preserve"> </w:t>
      </w:r>
      <w:r>
        <w:rPr>
          <w:iCs/>
          <w:i/>
        </w:rPr>
        <w:t xml:space="preserve">Nguồn: tác giả tự xây dựng.</w:t>
      </w:r>
    </w:p>
    <w:bookmarkEnd w:id="57"/>
    <w:bookmarkStart w:id="58"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58"/>
    <w:bookmarkStart w:id="59"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59"/>
    <w:bookmarkEnd w:id="60"/>
    <w:bookmarkStart w:id="61"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61"/>
    <w:bookmarkEnd w:id="62"/>
    <w:bookmarkStart w:id="63" w:name="chương-3-phương-pháp-nghiên-cứu"/>
    <w:p>
      <w:pPr>
        <w:pStyle w:val="Heading1"/>
      </w:pPr>
      <w:r>
        <w:t xml:space="preserve">CHƯƠNG 3: PHƯƠNG PHÁP NGHIÊN CỨU</w:t>
      </w:r>
    </w:p>
    <w:bookmarkEnd w:id="63"/>
    <w:p>
      <w:r>
        <w:pict>
          <v:rect style="width:0;height:1.5pt" o:hralign="center" o:hrstd="t" o:hr="t"/>
        </w:pict>
      </w:r>
    </w:p>
    <w:bookmarkStart w:id="66" w:name="thiết-kế-nghiên-cứu-tổng-thể"/>
    <w:p>
      <w:pPr>
        <w:pStyle w:val="Heading2"/>
      </w:pPr>
      <w:r>
        <w:t xml:space="preserve">3.1 Thiết kế nghiên cứu tổng thể</w:t>
      </w:r>
    </w:p>
    <w:bookmarkStart w:id="64"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64"/>
    <w:bookmarkStart w:id="65"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65"/>
    <w:bookmarkEnd w:id="66"/>
    <w:bookmarkStart w:id="70" w:name="giai-đoạn-1-phân-tích-tổng-hợp-1982-2026"/>
    <w:p>
      <w:pPr>
        <w:pStyle w:val="Heading2"/>
      </w:pPr>
      <w:r>
        <w:t xml:space="preserve">3.2 Giai đoạn 1: Phân tích tổng hợp 1982-2026</w:t>
      </w:r>
    </w:p>
    <w:bookmarkStart w:id="67"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67"/>
    <w:bookmarkStart w:id="68"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68"/>
    <w:bookmarkStart w:id="69"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69"/>
    <w:bookmarkEnd w:id="70"/>
    <w:bookmarkStart w:id="79" w:name="X2f2dc61cf51b22160123af8668c978f8ce43175"/>
    <w:p>
      <w:pPr>
        <w:pStyle w:val="Heading2"/>
      </w:pPr>
      <w:r>
        <w:t xml:space="preserve">3.3 Giai đoạn 2: Phân tích thực nghiệm đa quốc gia</w:t>
      </w:r>
    </w:p>
    <w:bookmarkStart w:id="71"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71"/>
    <w:bookmarkStart w:id="72"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w:t>
      </w:r>
    </w:p>
    <w:p>
      <w:pPr>
        <w:pStyle w:val="BodyText"/>
      </w:pPr>
      <w:r>
        <w:rPr>
          <w:bCs/>
          <w:b/>
        </w:rPr>
        <w:t xml:space="preserve">Cơ sở kế thừa</w:t>
      </w:r>
      <w:r>
        <w:t xml:space="preserve">: Năng suất lao động được sử dụng rộng rãi trong nghiên cứu WBES và trong các nghiên cứu về năng suất doanh nghiệp (Bloom et al., 2012; Hsieh &amp; Klenow, 2009). Chỉ tiêu này đã được vận hành hóa thành công trong bài thực trạng châu Á mới nổi (Do &amp; Phan, 2026a).</w:t>
      </w:r>
    </w:p>
    <w:p>
      <w:pPr>
        <w:pStyle w:val="BodyText"/>
      </w:pPr>
      <w:r>
        <w:rPr>
          <w:bCs/>
          <w:b/>
        </w:rPr>
        <w:t xml:space="preserve">Lập luận chọn</w:t>
      </w:r>
      <w:r>
        <w:t xml:space="preserve">: WBES không phải bộ báo cáo tài chính đầy đủ, nên năng suất lao động phù hợp hơn ROA/ROE/ROS trong bối cảnh đa quốc gia. Ngoài ra, năng suất lao động có tính so sánh xuyên quốc gia cao hơn do không bị ảnh hưởng bởi chuẩn mực kế toán khác biệt (Combs et al., 2005; Richard et al., 2009).</w:t>
      </w:r>
    </w:p>
    <w:p>
      <w:pPr>
        <w:pStyle w:val="BodyText"/>
      </w:pPr>
      <w:r>
        <w:rPr>
          <w:bCs/>
          <w:b/>
        </w:rPr>
        <w:t xml:space="preserve">Biến kiểm định độ vững</w:t>
      </w:r>
      <w:r>
        <w:t xml:space="preserve">: ROS, tăng trưởng doanh thu, tăng trưởng lao động,</w:t>
      </w:r>
      <w:r>
        <w:t xml:space="preserve"> </w:t>
      </w:r>
      <m:oMath>
        <m:r>
          <m:rPr>
            <m:sty m:val="p"/>
          </m:rPr>
          <m:t>ln</m:t>
        </m:r>
      </m:oMath>
      <w:r>
        <w:t xml:space="preserve">(doanh thu năm).</w:t>
      </w:r>
    </w:p>
    <w:p>
      <w:pPr>
        <w:pStyle w:val="BodyText"/>
      </w:pPr>
      <w:r>
        <w:rPr>
          <w:bCs/>
          <w:b/>
        </w:rPr>
        <w:t xml:space="preserve">Đóng góp mới</w:t>
      </w:r>
      <w:r>
        <w:t xml:space="preserve">: lập luận rõ ràng rằng hiệu quả hoạt động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72"/>
    <w:bookmarkStart w:id="73"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tỷ lệ doanh thu xuất khẩu trên tổng doanh thu (Foreign Sales to Total Sales, FSTS).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S và dạng bậc ba.</w:t>
      </w:r>
    </w:p>
    <w:p>
      <w:pPr>
        <w:pStyle w:val="BodyText"/>
      </w:pPr>
      <w:r>
        <w:rPr>
          <w:bCs/>
          <w:b/>
        </w:rPr>
        <w:t xml:space="preserve">Cơ sở kế thừa</w:t>
      </w:r>
      <w:r>
        <w:t xml:space="preserve">: FSTS là thước đo quốc tế hóa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Đặc tả bậc ba được Do và Phan (2026b) xác nhận có ý nghĩa thống kê ở Trung Quốc với điểm uốn ~47,8% FSTS, làm mốc nền cho việc kiểm định mở rộng trong luận án.</w:t>
      </w:r>
    </w:p>
    <w:bookmarkEnd w:id="73"/>
    <w:bookmarkStart w:id="77" w:name="đo-lường-biến-điều-tiết"/>
    <w:p>
      <w:pPr>
        <w:pStyle w:val="Heading3"/>
      </w:pPr>
      <w:r>
        <w:t xml:space="preserve">3.3.4 Đo lường biến điều tiết</w:t>
      </w:r>
    </w:p>
    <w:bookmarkStart w:id="74"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quy trình hòa hợp đo lường</w:t>
      </w:r>
      <w:r>
        <w:t xml:space="preserve"> </w:t>
      </w:r>
      <w:r>
        <w:t xml:space="preserve">trong bối cảnh WBES, đảm bảo tính thuần nhất khái niệm ở 47 nền kinh tế châu Á và Thái Bình Dương, với quy trình hòa hợp ba thế hệ lược đồ dữ liệu. Phân tách TCI và DAI dựa theo: (i) Bharadwaj et al. (2013), năng lực CNTT và chiến lược kinh doanh số có mạng lưới quan hệ khái niệm khác nhau; (ii) phân tầng ba cấp của Verhoef et al. (2021): số hóa dữ liệu, số hóa quy trình, chuyển đổi số; (iii) truyền thống Lall (1992) và Cohen &amp; Levinthal (1990) coi năng lực công nghệ là chiều sâu năng lực nội tại (năng lực hấp thụ), khác về bản chất với áp dụng số ở giao diện ngoại tại; (iv) logic điều phối nguồn lực của Bhandari et al. (2023) cho quan hệ I-P; và (v) bốn tiêu chí của chỉ số tổng hợp dạng cấu thành theo Coltman et al. (2008), đảm bảo TCI và DAI là hai chỉ số tổng hợp độc lập.</w:t>
      </w:r>
    </w:p>
    <w:bookmarkEnd w:id="74"/>
    <w:bookmarkStart w:id="75"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75"/>
    <w:bookmarkStart w:id="76"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76"/>
    <w:bookmarkEnd w:id="77"/>
    <w:bookmarkStart w:id="78" w:name="biến-kiểm-soát"/>
    <w:p>
      <w:pPr>
        <w:pStyle w:val="Heading3"/>
      </w:pPr>
      <w:r>
        <w:t xml:space="preserve">3.3.5 Biến kiểm soát</w:t>
      </w:r>
    </w:p>
    <w:p>
      <w:pPr>
        <w:pStyle w:val="FirstParagraph"/>
      </w:pPr>
      <m:oMath>
        <m:r>
          <m:rPr>
            <m:sty m:val="p"/>
          </m:rPr>
          <m:t>ln</m:t>
        </m:r>
      </m:oMath>
      <w:r>
        <w:t xml:space="preserve"> </w:t>
      </w:r>
      <w:r>
        <w:t xml:space="preserve">số lao động, tuổi doanh nghiệp, biến giả sở hữu nước ngoài, biến giả ngành, hiệu ứng cố định quốc gia, hiệu ứng cố định năm.</w:t>
      </w:r>
    </w:p>
    <w:p>
      <w:pPr>
        <w:pStyle w:val="BodyText"/>
      </w:pPr>
      <w:r>
        <w:rPr>
          <w:bCs/>
          <w:b/>
        </w:rPr>
        <w:t xml:space="preserve">Cơ sở kế thừa</w:t>
      </w:r>
      <w:r>
        <w:t xml:space="preserve">: chuẩn trong nghiên cứu WBES và kinh doanh quốc tế (Aterido et al., 2011; Ayyagari et al., 2011).</w:t>
      </w:r>
    </w:p>
    <w:bookmarkEnd w:id="78"/>
    <w:bookmarkEnd w:id="79"/>
    <w:bookmarkStart w:id="93" w:name="mô-hình-phân-tích"/>
    <w:p>
      <w:pPr>
        <w:pStyle w:val="Heading2"/>
      </w:pPr>
      <w:r>
        <w:t xml:space="preserve">3.4 Mô hình phân tích</w:t>
      </w:r>
    </w:p>
    <w:bookmarkStart w:id="80"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80"/>
    <w:bookmarkStart w:id="81"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81"/>
    <w:bookmarkStart w:id="82"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82"/>
    <w:bookmarkStart w:id="85" w:name="mô-hình-điều-tiết-h2-h6"/>
    <w:p>
      <w:pPr>
        <w:pStyle w:val="Heading3"/>
      </w:pPr>
      <w:r>
        <w:t xml:space="preserve">3.4.4 Mô hình điều tiết (H2-H6)</w:t>
      </w:r>
    </w:p>
    <w:bookmarkStart w:id="83"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83"/>
    <w:bookmarkStart w:id="84"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thuần khiết của tương tác Thể chế × Công nghệ.</w:t>
      </w:r>
    </w:p>
    <w:bookmarkEnd w:id="84"/>
    <w:bookmarkEnd w:id="85"/>
    <w:bookmarkStart w:id="86"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86"/>
    <w:bookmarkStart w:id="87"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87"/>
    <w:bookmarkStart w:id="88"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88"/>
    <w:bookmarkStart w:id="89"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89"/>
    <w:bookmarkStart w:id="90"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90"/>
    <w:bookmarkStart w:id="91"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91"/>
    <w:bookmarkStart w:id="92"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92"/>
    <w:bookmarkEnd w:id="93"/>
    <w:bookmarkStart w:id="99" w:name="kiểm-định-độ-vững"/>
    <w:p>
      <w:pPr>
        <w:pStyle w:val="Heading2"/>
      </w:pPr>
      <w:r>
        <w:t xml:space="preserve">3.5 Kiểm định độ vững</w:t>
      </w:r>
    </w:p>
    <w:bookmarkStart w:id="94"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94"/>
    <w:bookmarkStart w:id="95"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95"/>
    <w:bookmarkStart w:id="96"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96"/>
    <w:bookmarkStart w:id="97"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97"/>
    <w:bookmarkStart w:id="98"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98"/>
    <w:bookmarkEnd w:id="99"/>
    <w:bookmarkStart w:id="100"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100"/>
    <w:bookmarkStart w:id="101"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 CHƯƠNG 4: KẾT QUẢ NGHIÊN CỨU</w:t>
      </w:r>
    </w:p>
    <w:p>
      <w:r>
        <w:pict>
          <v:rect style="width:0;height:1.5pt" o:hralign="center" o:hrstd="t" o:hr="t"/>
        </w:pict>
      </w:r>
    </w:p>
    <w:bookmarkEnd w:id="101"/>
    <w:bookmarkStart w:id="102"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mức suy giảm khoảng</w:t>
      </w:r>
      <w:r>
        <w:t xml:space="preserve"> </w:t>
      </w:r>
      <w:r>
        <w:rPr>
          <w:bCs/>
          <w:b/>
        </w:rPr>
        <w:t xml:space="preserve">53%</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102"/>
    <w:bookmarkStart w:id="107" w:name="thống-kê-mô-tả-và-bức-tranh-tổng-thể"/>
    <w:p>
      <w:pPr>
        <w:pStyle w:val="Heading2"/>
      </w:pPr>
      <w:r>
        <w:t xml:space="preserve">4.1 Thống kê mô tả và bức tranh tổng thể</w:t>
      </w:r>
    </w:p>
    <w:bookmarkStart w:id="103"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103"/>
    <w:bookmarkStart w:id="104"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104"/>
    <w:bookmarkStart w:id="105"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105"/>
    <w:bookmarkStart w:id="106"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106"/>
    <w:bookmarkEnd w:id="107"/>
    <w:bookmarkStart w:id="112" w:name="Xcac9e8aa89b90d2d4c5a3d7a7353386e79eb48b"/>
    <w:p>
      <w:pPr>
        <w:pStyle w:val="Heading2"/>
      </w:pPr>
      <w:r>
        <w:t xml:space="preserve">4.2 Kết quả phân tích tổng hợp ba tầng (phân tích tổng hợp)</w:t>
      </w:r>
    </w:p>
    <w:bookmarkStart w:id="108"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108"/>
    <w:bookmarkStart w:id="109"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109"/>
    <w:bookmarkStart w:id="110"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 trên toàn mẫu:</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Tuy vậy, kết quả omnibus này cần diễn giải thận trọng vì</w:t>
      </w:r>
      <w:r>
        <w:t xml:space="preserve"> </w:t>
      </w:r>
      <w:r>
        <w:rPr>
          <w:bCs/>
          <w:b/>
        </w:rPr>
        <w:t xml:space="preserve">không bền vững</w:t>
      </w:r>
      <w:r>
        <w:t xml:space="preserve">: như trình bày dưới đây, toàn bộ ý nghĩa thống kê do một ô nhỏ duy nhất (Frontier,</w:t>
      </w:r>
      <w:r>
        <w:t xml:space="preserve"> </w:t>
      </w:r>
      <m:oMath>
        <m:r>
          <m:t>K</m:t>
        </m:r>
        <m:r>
          <m:rPr>
            <m:sty m:val="p"/>
          </m:rPr>
          <m:t>=</m:t>
        </m:r>
        <m:r>
          <m:t>3</m:t>
        </m:r>
      </m:oMath>
      <w:r>
        <w:t xml:space="preserve">) tạo ra, và kiểm định nhạy cảm bỏ ô này — ước lượng lại trên bốn chế độ đông dữ liệu (I/II/III/MX,</w:t>
      </w:r>
      <w:r>
        <w:t xml:space="preserve"> </w:t>
      </w:r>
      <m:oMath>
        <m:r>
          <m:t>K</m:t>
        </m:r>
        <m:r>
          <m:rPr>
            <m:sty m:val="p"/>
          </m:rPr>
          <m:t>=</m:t>
        </m:r>
        <m:r>
          <m:t>285</m:t>
        </m:r>
      </m:oMath>
      <w:r>
        <w:t xml:space="preserve">) — đưa</w:t>
      </w:r>
      <w:r>
        <w:t xml:space="preserve"> </w:t>
      </w:r>
      <m:oMath>
        <m:sSub>
          <m:e>
            <m:r>
              <m:t>Q</m:t>
            </m:r>
          </m:e>
          <m:sub>
            <m:r>
              <m:t>M</m:t>
            </m:r>
          </m:sub>
        </m:sSub>
      </m:oMath>
      <w:r>
        <w:t xml:space="preserve"> </w:t>
      </w:r>
      <w:r>
        <w:t xml:space="preserve">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ngang bằng với cDAI và DPL. Nói cách khác, ở cấp phân tích tổng hợp,</w:t>
      </w:r>
      <w:r>
        <w:t xml:space="preserve"> </w:t>
      </w:r>
      <w:r>
        <w:rPr>
          <w:bCs/>
          <w:b/>
        </w:rPr>
        <w:t xml:space="preserve">điều tiết thể chế trực tiếp dưới dạng hiệu ứng chính phân nhóm là yếu và không robust</w:t>
      </w:r>
      <w:r>
        <w:t xml:space="preserve">. Đây không phải hạn chế làm suy yếu luận án, mà chính là khoảng trống định hướng cho phần tiếp theo: tính ngữ cảnh thể chế của quan hệ I-P không bộc lộ qua việc gộp chủ hiệu ứng phân nhóm ở cấp văn liệu, mà chỉ hiện ra khi mô hình hóa</w:t>
      </w:r>
      <w:r>
        <w:t xml:space="preserve"> </w:t>
      </w:r>
      <w:r>
        <w:rPr>
          <w:bCs/>
          <w:b/>
        </w:rPr>
        <w:t xml:space="preserve">có điều kiện (tương tác)</w:t>
      </w:r>
      <w:r>
        <w:t xml:space="preserve"> </w:t>
      </w:r>
      <w:r>
        <w:t xml:space="preserve">ở cấp doanh nghiệp (Mục 4.3).</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gần như hoàn toàn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Ô này chỉ dựa trên ba mức độ ảnh hưởng, trong đó có một giá trị ngoại lai, nên rất mong manh về mặt thống kê; kiểm định nhạy cảm bỏ ô Frontier đưa omnibus liên nhóm về</w:t>
      </w:r>
      <w:r>
        <w:t xml:space="preserve"> </w:t>
      </w:r>
      <m:oMath>
        <m:sSub>
          <m:e>
            <m:r>
              <m:t>Q</m:t>
            </m:r>
          </m:e>
          <m:sub>
            <m:r>
              <m:t>M</m:t>
            </m:r>
          </m:sub>
        </m:sSub>
        <m:r>
          <m:rPr>
            <m:sty m:val="p"/>
          </m:rPr>
          <m:t>=</m:t>
        </m:r>
        <m:r>
          <m:t>1</m:t>
        </m:r>
        <m:r>
          <m:rPr>
            <m:sty m:val="p"/>
          </m:rPr>
          <m:t>,</m:t>
        </m:r>
        <m:r>
          <m:t>49</m:t>
        </m:r>
      </m:oMath>
      <w:r>
        <w:t xml:space="preserve"> </w:t>
      </w:r>
      <w:r>
        <w:t xml:space="preserve">(</w:t>
      </w:r>
      <m:oMath>
        <m:r>
          <m:t>d</m:t>
        </m:r>
        <m:r>
          <m:t>f</m:t>
        </m:r>
        <m:r>
          <m:rPr>
            <m:sty m:val="p"/>
          </m:rPr>
          <m:t>=</m:t>
        </m:r>
        <m:r>
          <m:t>3</m:t>
        </m:r>
      </m:oMath>
      <w:r>
        <w:t xml:space="preserve">,</w:t>
      </w:r>
      <w:r>
        <w:t xml:space="preserve"> </w:t>
      </w:r>
      <m:oMath>
        <m:r>
          <m:t>p</m:t>
        </m:r>
        <m:r>
          <m:rPr>
            <m:sty m:val="p"/>
          </m:rPr>
          <m:t>=</m:t>
        </m:r>
        <m:r>
          <m:rPr>
            <m:sty m:val="p"/>
          </m:rPr>
          <m:t>,</m:t>
        </m:r>
        <m:r>
          <m:t>68</m:t>
        </m:r>
      </m:oMath>
      <w:r>
        <w:t xml:space="preserve">) — không có ý nghĩa. Do đó phân tích tổng hợp</w:t>
      </w:r>
      <w:r>
        <w:t xml:space="preserve"> </w:t>
      </w:r>
      <w:r>
        <w:rPr>
          <w:bCs/>
          <w:b/>
        </w:rPr>
        <w:t xml:space="preserve">không</w:t>
      </w:r>
      <w:r>
        <w:t xml:space="preserve"> </w:t>
      </w:r>
      <w:r>
        <w:t xml:space="preserve">cung cấp bằng chứng robust về một dải biến thiên thể chế đơn điệu, cũng không về điều tiết thể chế trực tiếp nói chung; điều vững chắc duy nhất là hiệu ứng I-P dương nhỏ tương đối đồng nhất giữa các chế độ đông dữ liệu. Khoảng trống này được lấp ở cấp doanh nghiệp: phân tích đa quốc gia (Mục 4.3) cho thấy ICRV điều tiết quan hệ I-P một cách</w:t>
      </w:r>
      <w:r>
        <w:t xml:space="preserve"> </w:t>
      </w:r>
      <w:r>
        <w:rPr>
          <w:bCs/>
          <w:b/>
        </w:rPr>
        <w:t xml:space="preserve">có điều kiện</w:t>
      </w:r>
      <w:r>
        <w:t xml:space="preserve"> </w:t>
      </w:r>
      <w:r>
        <w:t xml:space="preserve">(qua các số hạng tương tác FSTS×ICRV và FSTS²×ICRV), tức là tính ngữ cảnh thể chế chỉ bộc lộ khi được mô hình hóa dưới dạng tương tác, chứ không phải dưới dạng so sánh chủ hiệu ứng phân nhóm ở cấp văn liệu.</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Như vậy, giống ICRV, các yếu tố số ở cấp quốc gia cũng không dịch chuyển quan hệ I-P dưới dạng</w:t>
      </w:r>
      <w:r>
        <w:t xml:space="preserve"> </w:t>
      </w:r>
      <w:r>
        <w:rPr>
          <w:bCs/>
          <w:b/>
        </w:rPr>
        <w:t xml:space="preserve">chủ hiệu ứng điều tiết</w:t>
      </w:r>
      <w:r>
        <w:t xml:space="preserve"> </w:t>
      </w:r>
      <w:r>
        <w:t xml:space="preserve">ở cấp văn liệu. Mẫu hình thống nhất này — không một chủ hiệu ứng điều tiết nào (thể chế hay số) robust ở cấp tổng hợp — chính là cơ sở để chuyển sang đặc tả</w:t>
      </w:r>
      <w:r>
        <w:t xml:space="preserve"> </w:t>
      </w:r>
      <w:r>
        <w:rPr>
          <w:bCs/>
          <w:b/>
        </w:rPr>
        <w:t xml:space="preserve">có điều kiện</w:t>
      </w:r>
      <w:r>
        <w:t xml:space="preserve">: vai trò số chỉ được kỳ vọng bộc lộ khi tương tác với bối cảnh thể chế (cơ chế</w:t>
      </w:r>
      <w:r>
        <w:t xml:space="preserve"> </w:t>
      </w:r>
      <w:r>
        <w:t xml:space="preserve">“</w:t>
      </w:r>
      <w:r>
        <w:t xml:space="preserve">thay thế số cho thể chế</w:t>
      </w:r>
      <w:r>
        <w:t xml:space="preserve">”</w:t>
      </w:r>
      <w:r>
        <w:t xml:space="preserve">, DAI×ICRV), điều được kiểm định trực tiếp ở cấp doanh nghiệp trong phân tích đa quốc gia và là đóng góp thực nghiệm cốt lõi của luận án.</w:t>
      </w:r>
    </w:p>
    <w:bookmarkEnd w:id="110"/>
    <w:bookmarkStart w:id="111"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111"/>
    <w:bookmarkEnd w:id="112"/>
    <w:bookmarkStart w:id="117" w:name="X2211c9df96706adf979c72912d0dfbc1dae7ce1"/>
    <w:p>
      <w:pPr>
        <w:pStyle w:val="Heading2"/>
      </w:pPr>
      <w:r>
        <w:t xml:space="preserve">4.3 Kết quả đa quốc gia trên 45 nền kinh tế (phân tích đa quốc gia 45 nền kinh tế)</w:t>
      </w:r>
    </w:p>
    <w:bookmarkStart w:id="113"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113"/>
    <w:bookmarkStart w:id="114"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Điều quan trọng cần làm rõ là quan hệ giữa hai cấp bằng chứng. Điều tiết thể chế ở cấp doanh nghiệp — qua hai số hạng tương tác FSTS×ICRV và FSTS²×ICRV (đều</w:t>
      </w:r>
      <w:r>
        <w:t xml:space="preserve"> </w:t>
      </w:r>
      <m:oMath>
        <m:r>
          <m:t>p</m:t>
        </m:r>
        <m:r>
          <m:rPr>
            <m:sty m:val="p"/>
          </m:rPr>
          <m:t>&lt;</m:t>
        </m:r>
        <m:r>
          <m:rPr>
            <m:sty m:val="p"/>
          </m:rPr>
          <m:t>,</m:t>
        </m:r>
        <m:r>
          <m:t>001</m:t>
        </m:r>
      </m:oMath>
      <w:r>
        <w:t xml:space="preserve">) — là</w:t>
      </w:r>
      <w:r>
        <w:t xml:space="preserve"> </w:t>
      </w:r>
      <w:r>
        <w:rPr>
          <w:bCs/>
          <w:b/>
        </w:rPr>
        <w:t xml:space="preserve">robust</w:t>
      </w:r>
      <w:r>
        <w:t xml:space="preserve"> </w:t>
      </w:r>
      <w:r>
        <w:t xml:space="preserve">và là kết quả trọng tâm của phân tích đa quốc gia. Trong khi đó, điều tiết thể chế ở cấp văn liệu (omnibus phân nhóm ICRV trong phân tích tổng hợp) lại</w:t>
      </w:r>
      <w:r>
        <w:t xml:space="preserve"> </w:t>
      </w:r>
      <w:r>
        <w:rPr>
          <w:bCs/>
          <w:b/>
        </w:rPr>
        <w:t xml:space="preserve">không bền vững</w:t>
      </w:r>
      <w:r>
        <w:t xml:space="preserve">: như đã chỉ ra ở Mục 4.2.3, bỏ ô Frontier (</w:t>
      </w:r>
      <m:oMath>
        <m:r>
          <m:t>K</m:t>
        </m:r>
        <m:r>
          <m:rPr>
            <m:sty m:val="p"/>
          </m:rPr>
          <m:t>=</m:t>
        </m:r>
        <m:r>
          <m:t>3</m:t>
        </m:r>
      </m:oMath>
      <w:r>
        <w:t xml:space="preserve">) thì omnibus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Hai cấp phân tích vì vậy</w:t>
      </w:r>
      <w:r>
        <w:t xml:space="preserve"> </w:t>
      </w:r>
      <w:r>
        <w:rPr>
          <w:bCs/>
          <w:b/>
        </w:rPr>
        <w:t xml:space="preserve">bổ sung chứ không trùng lặp</w:t>
      </w:r>
      <w:r>
        <w:t xml:space="preserve">: đặc tả có điều kiện (tương tác) ở cấp doanh nghiệp làm lộ ra vai trò điều tiết của chế độ thể chế mà việc gộp chủ hiệu ứng phân nhóm ở cấp tổng hợp không phát hiện được một cách robust. Đây chính là giá trị gia tăng cốt lõi của phân tích sơ cấp 45 nền kinh tế so với tổng hợp văn liệu hiện có, và là lý do biện minh cho việc luận án không dừng ở meta-analysis mà tiến đến mô hình hóa tương tác ở cấp vi mô.</w:t>
      </w:r>
    </w:p>
    <w:bookmarkEnd w:id="114"/>
    <w:bookmarkStart w:id="115"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115"/>
    <w:bookmarkStart w:id="116"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thuần khiết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116"/>
    <w:bookmarkEnd w:id="117"/>
    <w:bookmarkStart w:id="121"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118"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118"/>
    <w:bookmarkStart w:id="119"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119"/>
    <w:bookmarkStart w:id="120"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120"/>
    <w:bookmarkEnd w:id="121"/>
    <w:bookmarkStart w:id="125" w:name="X7dc1f4b6942ab8cbfe81c82f5ce732ad4c75229"/>
    <w:p>
      <w:pPr>
        <w:pStyle w:val="Heading2"/>
      </w:pPr>
      <w:r>
        <w:t xml:space="preserve">4.5 Trường hợp biên: quốc đảo nhỏ đang phát triển Thái Bình Dương (SIDS)</w:t>
      </w:r>
    </w:p>
    <w:bookmarkStart w:id="122"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122"/>
    <w:bookmarkStart w:id="123"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123"/>
    <w:bookmarkStart w:id="124"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124"/>
    <w:bookmarkEnd w:id="125"/>
    <w:bookmarkStart w:id="130" w:name="thảo-luận-tổng-hợp"/>
    <w:p>
      <w:pPr>
        <w:pStyle w:val="Heading2"/>
      </w:pPr>
      <w:r>
        <w:t xml:space="preserve">4.6 Thảo luận tổng hợp</w:t>
      </w:r>
    </w:p>
    <w:bookmarkStart w:id="126"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126"/>
    <w:bookmarkStart w:id="127"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127"/>
    <w:bookmarkStart w:id="128"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128"/>
    <w:bookmarkStart w:id="129"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 ở cấp doanh nghiệp qua tương tác có điều kiện M10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Ở cấp phân tích tổng hợp, omnibus ICRV</w:t>
            </w:r>
            <w:r>
              <w:t xml:space="preserve"> </w:t>
            </w:r>
            <w:r>
              <w:rPr>
                <w:bCs/>
                <w:b/>
              </w:rPr>
              <w:t xml:space="preserve">không bền vững</w:t>
            </w:r>
            <w:r>
              <w:t xml:space="preserve"> </w:t>
            </w:r>
            <w:r>
              <w:t xml:space="preserve">(</w:t>
            </w:r>
            <m:oMath>
              <m:sSub>
                <m:e>
                  <m:r>
                    <m:t>Q</m:t>
                  </m:r>
                </m:e>
                <m:sub>
                  <m:r>
                    <m:t>M</m:t>
                  </m:r>
                </m:sub>
              </m:sSub>
              <m:r>
                <m:rPr>
                  <m:sty m:val="p"/>
                </m:rPr>
                <m:t>=</m:t>
              </m:r>
              <m:r>
                <m:t>17</m:t>
              </m:r>
              <m:r>
                <m:rPr>
                  <m:sty m:val="p"/>
                </m:rPr>
                <m:t>,</m:t>
              </m:r>
              <m:r>
                <m:t>35</m:t>
              </m:r>
            </m:oMath>
            <w:r>
              <w:t xml:space="preserve"> </w:t>
            </w:r>
            <w:r>
              <w:t xml:space="preserve">nhưng bỏ ô Frontier</w:t>
            </w:r>
            <w:r>
              <w:t xml:space="preserve"> </w:t>
            </w:r>
            <m:oMath>
              <m:r>
                <m:t>K</m:t>
              </m:r>
              <m:r>
                <m:rPr>
                  <m:sty m:val="p"/>
                </m:rPr>
                <m:t>=</m:t>
              </m:r>
              <m:r>
                <m:t>3</m:t>
              </m:r>
            </m:oMath>
            <w:r>
              <w:t xml:space="preserve"> </w:t>
            </w:r>
            <w:r>
              <w:t xml:space="preserve">→</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điều tiết thể chế chỉ bộc lộ robust khi mô hình hóa tương tác, không phải khi so sánh chủ hiệu ứng phân nhóm.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129"/>
    <w:bookmarkEnd w:id="130"/>
    <w:bookmarkStart w:id="131" w:name="kiểm-định-độ-vững-1"/>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tbl>
      <w:tblPr>
        <w:tblStyle w:val="Table"/>
        <w:tblW w:type="pct" w:w="278"/>
        <w:tblLook w:firstRow="0" w:lastRow="0" w:firstColumn="0" w:lastColumn="0" w:noHBand="0" w:noVBand="0" w:val="0000"/>
        <w:jc w:val="start"/>
      </w:tblPr>
      <w:tblGrid>
        <w:gridCol w:w="440"/>
      </w:tblGrid>
      <w:tr>
        <w:tc>
          <w:tcPr/>
          <w:p>
            <w:pPr>
              <w:pStyle w:val="Compact"/>
            </w:pPr>
          </w:p>
        </w:tc>
      </w:tr>
      <w:tr>
        <w:tc>
          <w:tcPr/>
          <w:p>
            <w:pPr>
              <w:pStyle w:val="Compact"/>
              <w:jc w:val="left"/>
            </w:pPr>
            <w:r>
              <w:t xml:space="preserve"># CHƯƠNG 5: KẾT LUẬN VÀ ĐỀ XUẤT</w:t>
            </w:r>
          </w:p>
        </w:tc>
      </w:tr>
      <w:tr>
        <w:tc>
          <w:tcPr/>
          <w:p>
            <w:pPr>
              <w:pStyle w:val="Compact"/>
            </w:pPr>
          </w:p>
        </w:tc>
      </w:tr>
    </w:tbl>
    <w:bookmarkEnd w:id="131"/>
    <w:bookmarkStart w:id="132" w:name="giới-thiệu-chương-1"/>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132"/>
    <w:bookmarkStart w:id="138" w:name="Xff8cef3ed320f9cf6f3fba4ff558bfed3af19c6"/>
    <w:p>
      <w:pPr>
        <w:pStyle w:val="Heading2"/>
      </w:pPr>
      <w:r>
        <w:t xml:space="preserve">5.1 Bàn luận kết quả theo khung lý thuyết CDCM</w:t>
      </w:r>
    </w:p>
    <w:bookmarkStart w:id="133"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bổ sung cho nhau cùng chỉ về vai trò quyết định của chế độ thể chế, song ở hai cấp độ khác nhau. Ở cấp tổng hợp, phân tích tổng hợp xác nhận chế độ thể chế là yếu tố điều tiết có ý nghĩa của quan hệ gộp I-P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tức các chế độ</w:t>
      </w:r>
      <w:r>
        <w:t xml:space="preserve"> </w:t>
      </w:r>
      <w:r>
        <w:rPr>
          <w:bCs/>
          <w:b/>
        </w:rPr>
        <w:t xml:space="preserve">khác biệt</w:t>
      </w:r>
      <w:r>
        <w:t xml:space="preserve"> </w:t>
      </w:r>
      <w:r>
        <w:t xml:space="preserve">nhau; bản thân kiểm định này chưa xác lập một dải biến thiên đơn điệu theo chất lượng thể chế, và thực ra</w:t>
      </w:r>
      <w:r>
        <w:t xml:space="preserve"> </w:t>
      </w:r>
      <w:r>
        <w:rPr>
          <w:bCs/>
          <w:b/>
        </w:rPr>
        <w:t xml:space="preserve">không bền vững</w:t>
      </w:r>
      <w:r>
        <w:t xml:space="preserve">: ý nghĩa</w:t>
      </w:r>
      <w:r>
        <w:t xml:space="preserve"> </w:t>
      </w:r>
      <m:oMath>
        <m:sSub>
          <m:e>
            <m:r>
              <m:t>Q</m:t>
            </m:r>
          </m:e>
          <m:sub>
            <m:r>
              <m:t>M</m:t>
            </m:r>
          </m:sub>
        </m:sSub>
      </m:oMath>
      <w:r>
        <w:t xml:space="preserve"> </w:t>
      </w:r>
      <w:r>
        <w:t xml:space="preserve">gần như hoàn toàn do ô Frontier mỏng (k = 3) tạo ra, bỏ ô này thì omnibus 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Hình dạng cụ thể của dải biến thiên được xác lập độc lập bằng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133"/>
    <w:bookmarkStart w:id="134"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134"/>
    <w:bookmarkStart w:id="135"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135"/>
    <w:bookmarkStart w:id="136"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136"/>
    <w:bookmarkStart w:id="137"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137"/>
    <w:bookmarkEnd w:id="138"/>
    <w:bookmarkStart w:id="142" w:name="so-sánh-với-nghiên-cứu-trước-đây"/>
    <w:p>
      <w:pPr>
        <w:pStyle w:val="Heading2"/>
      </w:pPr>
      <w:r>
        <w:t xml:space="preserve">5.2 So sánh với nghiên cứu trước đây</w:t>
      </w:r>
    </w:p>
    <w:bookmarkStart w:id="139"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 mức độ thiên lệch công bố: hiệu chỉnh trim-and-fill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w:t>
      </w:r>
      <w:r>
        <w:t xml:space="preserve"> </w:t>
      </w:r>
      <w:r>
        <w:rPr>
          <w:bCs/>
          <w:b/>
        </w:rPr>
        <w:t xml:space="preserve">suy giảm khoảng 53%</w:t>
      </w:r>
      <w:r>
        <w:t xml:space="preserve">: hàm ý rằng quan hệ I-P trung bình được báo cáo suốt bốn thập kỷ có thể đã bị thổi phồng đáng kể. Đây là một ước lượng hiệu chỉnh được củng cố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do kiểm định Egger chỉ ở mức biên (</w:t>
      </w:r>
      <m:oMath>
        <m:r>
          <m:t>p</m:t>
        </m:r>
        <m:r>
          <m:rPr>
            <m:sty m:val="p"/>
          </m:rPr>
          <m:t>=</m:t>
        </m:r>
        <m:r>
          <m:rPr>
            <m:sty m:val="p"/>
          </m:rPr>
          <m:t>,</m:t>
        </m:r>
        <m:r>
          <m:t>057</m:t>
        </m:r>
      </m:oMath>
      <w:r>
        <w:t xml:space="preserve">), luận án trình bày con số 53% như một tín hiệu định hướng mạnh chứ không phải một độ lớn đã chốt.</w:t>
      </w:r>
    </w:p>
    <w:bookmarkEnd w:id="139"/>
    <w:bookmarkStart w:id="140"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140"/>
    <w:bookmarkStart w:id="141"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141"/>
    <w:bookmarkEnd w:id="142"/>
    <w:bookmarkStart w:id="146" w:name="đóng-góp-lý-thuyết-1"/>
    <w:p>
      <w:pPr>
        <w:pStyle w:val="Heading2"/>
      </w:pPr>
      <w:r>
        <w:t xml:space="preserve">5.3 Đóng góp lý thuyết</w:t>
      </w:r>
    </w:p>
    <w:bookmarkStart w:id="143"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143"/>
    <w:bookmarkStart w:id="144"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144"/>
    <w:bookmarkStart w:id="145"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145"/>
    <w:bookmarkEnd w:id="146"/>
    <w:bookmarkStart w:id="151" w:name="đề-xuất-chính-sách-và-quản-trị"/>
    <w:p>
      <w:pPr>
        <w:pStyle w:val="Heading2"/>
      </w:pPr>
      <w:r>
        <w:t xml:space="preserve">5.4 Đề xuất chính sách và quản trị</w:t>
      </w:r>
    </w:p>
    <w:bookmarkStart w:id="147"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147"/>
    <w:bookmarkStart w:id="148"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10"/>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10"/>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10"/>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10"/>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148"/>
    <w:bookmarkStart w:id="149"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149"/>
    <w:bookmarkStart w:id="150"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cấu trúc ngành buộc tỷ trọng xuất khẩu thường vượt 50-70% tổng doanh thu. Kết quả phân tích Việt Nam gợi ý rằng nhiều doanh nghiệp trong số đó đang ở phía bên phải điểm uốn, tức đang gánh chi phí phối hợp quốc tế mà năng suất không tăng tương ứng. Vì không có thị trường nội địa đủ lớn để thay thế, giải pháp không thể là giảm xuất khẩu, mà phải là</w:t>
      </w:r>
      <w:r>
        <w:t xml:space="preserve"> </w:t>
      </w:r>
      <w:r>
        <w:rPr>
          <w:bCs/>
          <w:b/>
        </w:rPr>
        <w:t xml:space="preserve">kéo dài đỉnh của đường cong chữ U</w:t>
      </w:r>
      <w:r>
        <w:t xml:space="preserve">, tức mở rộng vùng cường độ xuất khẩu còn sinh lợi bằng cách nâng năng lực để đẩy điểm uốn sang phải.</w:t>
      </w:r>
    </w:p>
    <w:p>
      <w:pPr>
        <w:pStyle w:val="BodyText"/>
      </w:pPr>
      <w:r>
        <w:t xml:space="preserve">Điều then chốt là phải dịch khái niệm trừu tượng</w:t>
      </w:r>
      <w:r>
        <w:t xml:space="preserve"> </w:t>
      </w:r>
      <w:r>
        <w:t xml:space="preserve">“</w:t>
      </w:r>
      <w:r>
        <w:t xml:space="preserve">nâng TCI</w:t>
      </w:r>
      <w:r>
        <w:t xml:space="preserve">”</w:t>
      </w:r>
      <w:r>
        <w:t xml:space="preserve"> </w:t>
      </w:r>
      <w:r>
        <w:t xml:space="preserve">thành một lộ trình hành động gắn chặt với đặc thù chuỗi cung ứng nông – thủy sản, thay vì một khuyến nghị chung chung. Với một nhà máy chế biến cá tra hay tôm, nâng TCI không có nghĩa là theo đuổi công nghệ cao trừu tượng, mà cụ thể là</w:t>
      </w:r>
      <w:r>
        <w:t xml:space="preserve"> </w:t>
      </w:r>
      <w:r>
        <w:rPr>
          <w:bCs/>
          <w:b/>
        </w:rPr>
        <w:t xml:space="preserve">đạt các chứng nhận chất lượng quốc tế khắt khe như ASC (Aquaculture Stewardship Council) và BAP (Best Aquaculture Practices) cho thủy sản, hoặc GlobalGAP và SRP (Sustainable Rice Platform) cho gạo</w:t>
      </w:r>
      <w:r>
        <w:t xml:space="preserve">. Trong ngữ cảnh này, chứng nhận vận hành như một thứ vũ khí kép: nó giúp doanh nghiệp vượt qua các rào cản kỹ thuật trong thương mại (TBT/SPS) tại các thị trường EU, Hoa Kỳ và Nhật Bản, đồng thời biến chính chi phí tuân thủ thành một rào cản gia nhập đối với đối thủ năng lực thấp hơn, qua đó nâng biên lợi nhuận trên mỗi đơn vị xuất khẩu và đẩy điểm uốn về phía cường độ cao hơn.</w:t>
      </w:r>
    </w:p>
    <w:p>
      <w:pPr>
        <w:pStyle w:val="BodyText"/>
      </w:pPr>
      <w:r>
        <w:t xml:space="preserve">Về số hóa, bằng chứng đối chiếu giữa kết quả không có ý nghĩa (null) của DAI Tier-1 tại Việt Nam và hiệu ứng khuếch đại mạnh của DAI Tier-1+2 tại Singapore cung cấp một minh chứng thực nghiệm sắc bén: ở một thị trường chuyển đổi như Việt Nam, số hóa Tier-1 (chỉ gồm trang web, thư điện tử) đã trở thành một</w:t>
      </w:r>
      <w:r>
        <w:t xml:space="preserve"> </w:t>
      </w:r>
      <w:r>
        <w:rPr>
          <w:bCs/>
          <w:b/>
        </w:rPr>
        <w:t xml:space="preserve">yếu tố vệ sinh</w:t>
      </w:r>
      <w:r>
        <w:t xml:space="preserve"> </w:t>
      </w:r>
      <w:r>
        <w:t xml:space="preserve">(hygiene factor) phổ cập, hiện diện gần như khắp nơi nên không còn tạo khác biệt cạnh tranh và không đủ sức uốn cong đường hiệu quả. Hàm ý cho Đồng bằng sông Cửu Long do đó không phải là</w:t>
      </w:r>
      <w:r>
        <w:t xml:space="preserve"> </w:t>
      </w:r>
      <w:r>
        <w:t xml:space="preserve">“</w:t>
      </w:r>
      <w:r>
        <w:t xml:space="preserve">chuyển đổi số</w:t>
      </w:r>
      <w:r>
        <w:t xml:space="preserve">”</w:t>
      </w:r>
      <w:r>
        <w:t xml:space="preserve"> </w:t>
      </w:r>
      <w:r>
        <w:t xml:space="preserve">chung chung, mà là vượt qua</w:t>
      </w:r>
      <w:r>
        <w:t xml:space="preserve"> </w:t>
      </w:r>
      <w:r>
        <w:rPr>
          <w:bCs/>
          <w:b/>
        </w:rPr>
        <w:t xml:space="preserve">ngưỡng độ sâu</w:t>
      </w:r>
      <w:r>
        <w:t xml:space="preserve"> </w:t>
      </w:r>
      <w:r>
        <w:t xml:space="preserve">từ Tier-1 lên Tier-2, nơi năng lực số mới thực sự phát huy vai trò nguồn lực phụ thuộc bối cảnh và khuếch đại lợi nhuận ở mức quốc tế hóa cao. Cụ thể, DAI Tier-2 trong ngành nông – thủy sản chính là</w:t>
      </w:r>
      <w:r>
        <w:t xml:space="preserve"> </w:t>
      </w:r>
      <w:r>
        <w:rPr>
          <w:bCs/>
          <w:b/>
        </w:rPr>
        <w:t xml:space="preserve">hệ thống truy xuất nguồn gốc trên nền blockchain</w:t>
      </w:r>
      <w:r>
        <w:t xml:space="preserve"> </w:t>
      </w:r>
      <w:r>
        <w:t xml:space="preserve">và</w:t>
      </w:r>
      <w:r>
        <w:t xml:space="preserve"> </w:t>
      </w:r>
      <w:r>
        <w:rPr>
          <w:bCs/>
          <w:b/>
        </w:rPr>
        <w:t xml:space="preserve">phần mềm ERP kết nối trực tiếp nhà máy với hộ nông dân và vùng nuôi</w:t>
      </w:r>
      <w:r>
        <w:t xml:space="preserve">, kèm thanh toán điện tử xuyên suốt chuỗi. Đây chính là cơ chế</w:t>
      </w:r>
      <w:r>
        <w:t xml:space="preserve"> </w:t>
      </w:r>
      <w:r>
        <w:rPr>
          <w:bCs/>
          <w:b/>
        </w:rPr>
        <w:t xml:space="preserve">thay thế số cho thể chế</w:t>
      </w:r>
      <w:r>
        <w:t xml:space="preserve"> </w:t>
      </w:r>
      <w:r>
        <w:t xml:space="preserve">(digital-for-institutional substitution): ở nơi thể chế trung gian địa phương còn khoảng trống (hợp đồng khó thực thi, thông tin thị trường thiếu, chuẩn chất lượng khó giám sát), các công cụ số này hạ chi phí giao dịch bị đội lên do khoảng trống thể chế, đồng thời đáp ứng yêu cầu minh bạch nguồn gốc ngày càng ngặt nghèo từ nhà nhập khẩu. Bằng cách định nghĩa lại TCI và DAI bằng đúng ngôn ngữ của ngành hàng, các đề xuất này chuyển từ khuyến nghị hàn lâm sang một cẩm nang công nghệ khả thi cho doanh nghiệp và nhà hoạch định chính sách vùng,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150"/>
    <w:bookmarkEnd w:id="151"/>
    <w:bookmarkStart w:id="156" w:name="hạn-chế-và-hướng-nghiên-cứu-tương-lai"/>
    <w:p>
      <w:pPr>
        <w:pStyle w:val="Heading2"/>
      </w:pPr>
      <w:r>
        <w:t xml:space="preserve">5.5 Hạn chế và hướng nghiên cứu tương lai</w:t>
      </w:r>
    </w:p>
    <w:bookmarkStart w:id="152"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Tuy nhiên, cần phân biệt rõ giữa một giới hạn đo lường thuần túy và một phát hiện lý thuyết bị che lấp dưới hình thức giới hạn đo lường. Việc giải thích kết quả null của DAI tại Việt Nam đơn thuần như một khiếm khuyết dữ liệu của WBES là một lập luận phòng thủ và khiên cưỡng. Một cách diễn giải chặt chẽ hơn là xem Tier-1 không phải</w:t>
      </w:r>
      <w:r>
        <w:t xml:space="preserve"> </w:t>
      </w:r>
      <w:r>
        <w:t xml:space="preserve">“</w:t>
      </w:r>
      <w:r>
        <w:t xml:space="preserve">dữ liệu kém</w:t>
      </w:r>
      <w:r>
        <w:t xml:space="preserve">”</w:t>
      </w:r>
      <w:r>
        <w:t xml:space="preserve"> </w:t>
      </w:r>
      <w:r>
        <w:t xml:space="preserve">mà là một</w:t>
      </w:r>
      <w:r>
        <w:t xml:space="preserve"> </w:t>
      </w:r>
      <w:r>
        <w:rPr>
          <w:bCs/>
          <w:b/>
        </w:rPr>
        <w:t xml:space="preserve">rào cản tối thiểu đã bị bão hòa</w:t>
      </w:r>
      <w:r>
        <w:t xml:space="preserve">: tại các thị trường chuyển đổi, sự hiện diện số ở mức Tier-1 (có trang web, thư điện tử) đã phổ cập đến mức trở thành yếu tố vệ sinh, hiện diện gần như đồng đều giữa các doanh nghiệp nên không còn phương sai đủ để tạo khác biệt cạnh tranh hay làm bộ đệm uốn cong đường hiệu quả. Theo cách đọc này, kết quả null tại Việt Nam (chỉ Tier-1) đặt cạnh hiệu ứng khuếch đại có ý nghĩa tại Singapore (Tier-1+2) không phải là hai mảnh bằng chứng mâu thuẫn, mà cùng xác nhận một mệnh đề lý thuyết duy nhất: DAI là một nguồn lực phụ thuộc bối cảnh đòi hỏi một</w:t>
      </w:r>
      <w:r>
        <w:t xml:space="preserve"> </w:t>
      </w:r>
      <w:r>
        <w:rPr>
          <w:bCs/>
          <w:b/>
        </w:rPr>
        <w:t xml:space="preserve">ngưỡng độ sâu</w:t>
      </w:r>
      <w:r>
        <w:t xml:space="preserve"> </w:t>
      </w:r>
      <w:r>
        <w:t xml:space="preserve">nhất định, là sự chuyển dịch từ số hóa thông tin sang tích hợp số vào quy trình, mới đủ sức điều tiết quan hệ I-P. Diễn giải này biến một điểm yếu phương pháp thành một đóng góp lý thuyết, đồng thời định hướng cụ thể cho việc đo lường DAI đa tầng trong các nghiên cứu tương lai.</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152"/>
    <w:bookmarkStart w:id="153"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153"/>
    <w:bookmarkStart w:id="154"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154"/>
    <w:bookmarkStart w:id="155"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155"/>
    <w:bookmarkEnd w:id="156"/>
    <w:bookmarkStart w:id="161" w:name="kết-luận"/>
    <w:p>
      <w:pPr>
        <w:pStyle w:val="Heading2"/>
      </w:pPr>
      <w:r>
        <w:t xml:space="preserve">5.6 Kết luận</w:t>
      </w:r>
    </w:p>
    <w:bookmarkStart w:id="157"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11"/>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11"/>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11"/>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11"/>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1"/>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1"/>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11"/>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157"/>
    <w:bookmarkStart w:id="158"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158"/>
    <w:bookmarkStart w:id="159"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robust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159"/>
    <w:bookmarkStart w:id="160"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160"/>
    <w:bookmarkEnd w:id="16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2026-05-28T17:34:05Z</dcterms:created>
  <dcterms:modified xsi:type="dcterms:W3CDTF">2026-05-28T17:34:05Z</dcterms:modified>
</cp:coreProperties>
</file>

<file path=docProps/custom.xml><?xml version="1.0" encoding="utf-8"?>
<Properties xmlns="http://schemas.openxmlformats.org/officeDocument/2006/custom-properties" xmlns:vt="http://schemas.openxmlformats.org/officeDocument/2006/docPropsVTypes"/>
</file>