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kết hợp tổng hợp và thực nghiệm (mixed synthesis-empirical design)</w:t>
      </w:r>
      <w:r>
        <w:t xml:space="preserve"> </w:t>
      </w:r>
      <w:r>
        <w:t xml:space="preserve">gồm hai giai đoạn bổ sung cho nhau. Giai đoạn thứ nhất là phân tích tổng hợp các nghiên cứu để trả lời RQ1; giai đoạn thứ hai là phân tích thực nghiệm doanh nghiệp đa quốc gia để trả lời RQ2-RQ4. Hai giai đoạn đối thoại hai chiều: phân tích tổng hợp cung cấp nền tảng và gợi ý các yếu tố điều tiết cần kiểm định, còn phân tích thực nghiệm cung cấp bằng chứng bổ sung về bối cảnh châu Á và Thái Bình Dương.</w:t>
      </w:r>
    </w:p>
    <w:p>
      <w:pPr>
        <w:pStyle w:val="BodyText"/>
      </w:pPr>
      <w:r>
        <w:rPr>
          <w:bCs/>
          <w:b/>
        </w:rPr>
        <w:t xml:space="preserve">Cơ sở kế thừa</w:t>
      </w:r>
      <w:r>
        <w:t xml:space="preserve">: Thiết kế kết hợp giữa phân tích tổng hợp và dữ liệu sơ cấp đã được áp dụng trong quản trị chiến lược và kinh doanh quốc tế (Borenstein et al., 2009; Hunter &amp; Schmidt, 2004; Combs et al., 2011).</w:t>
      </w:r>
    </w:p>
    <w:p>
      <w:pPr>
        <w:pStyle w:val="BodyText"/>
      </w:pPr>
      <w:r>
        <w:rPr>
          <w:bCs/>
          <w:b/>
        </w:rPr>
        <w:t xml:space="preserve">Đóng góp mới</w:t>
      </w:r>
      <w:r>
        <w:t xml:space="preserve">: Áp dụng thiết kế kết hợp cho một luận án duy nhất về quan hệ quốc tế hóa–hiệu quả hoạt động trong bối cảnh châu Á và Thái Bình Dương với</w:t>
      </w:r>
      <w:r>
        <w:t xml:space="preserve"> </w:t>
      </w:r>
      <w:r>
        <w:rPr>
          <w:bCs/>
          <w:b/>
        </w:rPr>
        <w:t xml:space="preserve">47 nền kinh tế</w:t>
      </w:r>
      <w:r>
        <w:t xml:space="preserve"> </w:t>
      </w:r>
      <w:r>
        <w:t xml:space="preserve">là thiết kế hiếm gặp; đa số các luận án kinh doanh quốc tế chỉ thực hiện một trong hai giai đoạn. Quy mô 47 nước/101.185 doanh nghiệp là phạm vi địa lý lớn nhất từng có cho khu vực, mở rộng từ mẫu gộp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các phân tích tổng hợp trước đây; (ii) xây dựng khung lý thuyết tích hợp đa tầng và hệ giả thuyết H1-H6; (iii) tiến hành phân tích tổng hợp cập nhật 1982-2026; (iv) thu thập và chuẩn hóa dữ liệu WBES cho</w:t>
      </w:r>
      <w:r>
        <w:t xml:space="preserve"> </w:t>
      </w:r>
      <w:r>
        <w:rPr>
          <w:bCs/>
          <w:b/>
        </w:rPr>
        <w:t xml:space="preserve">47 nền kinh tế châu Á và Thái Bình Dương</w:t>
      </w:r>
      <w:r>
        <w:t xml:space="preserve"> </w:t>
      </w:r>
      <w:r>
        <w:t xml:space="preserve">sau khi hòa hợp ba thế hệ lược đồ dữ liệu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giai-đoạn-1-phân-tích-tổng-hợp-1982-2026"/>
    <w:p>
      <w:pPr>
        <w:pStyle w:val="Heading2"/>
      </w:pPr>
      <w:r>
        <w:t xml:space="preserve">3.2 Giai đoạn 1: Phân tích tổng hợp 1982-2026</w:t>
      </w:r>
    </w:p>
    <w:bookmarkStart w:id="24" w:name="cơ-sở-kế-thừa"/>
    <w:p>
      <w:pPr>
        <w:pStyle w:val="Heading3"/>
      </w:pPr>
      <w:r>
        <w:t xml:space="preserve">3.2.1 Cơ sở kế thừa</w:t>
      </w:r>
    </w:p>
    <w:p>
      <w:pPr>
        <w:pStyle w:val="FirstParagraph"/>
      </w:pPr>
      <w:r>
        <w:t xml:space="preserve">Phân tích tổng hợp trong kinh doanh quốc tế đã được thiết lập vững chắc qua nhiều thập kỷ (Hunter &amp; Schmidt, 2004; Borenstein et al., 2009). Phương pháp chuẩn bao gồm: xây dựng tiêu chí đưa vào theo PRISMA (Page et al., 2021), biến đổi hiệu ứng bằng Fisher’s</w:t>
      </w:r>
      <w:r>
        <w:t xml:space="preserve"> </w:t>
      </w:r>
      <m:oMath>
        <m:r>
          <m:t>z</m:t>
        </m:r>
      </m:oMath>
      <w:r>
        <w:t xml:space="preserve">, tính độ lớn hiệu ứng gộp theo hiệu ứng ngẫu nhiên, kiểm định tính không đồng nhất bằng</w:t>
      </w:r>
      <w:r>
        <w:t xml:space="preserve"> </w:t>
      </w:r>
      <m:oMath>
        <m:r>
          <m:t>Q</m:t>
        </m:r>
      </m:oMath>
      <w:r>
        <w:t xml:space="preserve">-test và</w:t>
      </w:r>
      <w:r>
        <w:t xml:space="preserve"> </w:t>
      </w:r>
      <m:oMath>
        <m:sSup>
          <m:e>
            <m:r>
              <m:t>I</m:t>
            </m:r>
          </m:e>
          <m:sup>
            <m:r>
              <m:t>2</m:t>
            </m:r>
          </m:sup>
        </m:sSup>
      </m:oMath>
      <w:r>
        <w:t xml:space="preserve">, và đánh giá thiên lệch công bố bằng Egger và Begg-Mazumdar (Egger et al., 1997; Begg &amp; Mazumdar, 1994). Các phân tích tổng hợp trước đây về quan hệ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phạm vi thời gian</w:t>
      </w:r>
      <w:r>
        <w:t xml:space="preserve">: từ 1977-2022 (bài ICBEF 2025) sang</w:t>
      </w:r>
      <w:r>
        <w:t xml:space="preserve"> </w:t>
      </w:r>
      <w:r>
        <w:rPr>
          <w:bCs/>
          <w:b/>
        </w:rPr>
        <w:t xml:space="preserve">1982-2026</w:t>
      </w:r>
      <w:r>
        <w:t xml:space="preserve">, bổ sung các nghiên cứu 2023-2026 liên quan đến chuyển đổi số và doanh nghiệp đa quốc gia từ nền kinh tế mới nổi (EMNE).</w:t>
      </w:r>
    </w:p>
    <w:p>
      <w:pPr>
        <w:numPr>
          <w:ilvl w:val="0"/>
          <w:numId w:val="1001"/>
        </w:numPr>
        <w:pStyle w:val="Compact"/>
      </w:pPr>
      <w:r>
        <w:rPr>
          <w:bCs/>
          <w:b/>
        </w:rPr>
        <w:t xml:space="preserve">Mở rộng phạm vi biến điều tiết</w:t>
      </w:r>
      <w:r>
        <w:t xml:space="preserve">: thêm cụm biến điều tiết về áp dụng số và 6 chế độ con ICRV, vốn chưa được xem xét đầy đủ trong các phân tích tổng hợp trước.</w:t>
      </w:r>
    </w:p>
    <w:p>
      <w:pPr>
        <w:numPr>
          <w:ilvl w:val="0"/>
          <w:numId w:val="1001"/>
        </w:numPr>
        <w:pStyle w:val="Compact"/>
      </w:pPr>
      <w:r>
        <w:rPr>
          <w:bCs/>
          <w:b/>
        </w:rPr>
        <w:t xml:space="preserve">Mẫu gộp hiện tại</w:t>
      </w:r>
      <w:r>
        <w:t xml:space="preserve">: K=288 độ lớn hiệu ứng / k=238 nghiên cứu (mốc nền trước khi tìm kiếm chính thức trên WoS và Scopus); mục tiêu sau tìm kiếm chính thức: k$</w:t>
      </w:r>
      <w:r>
        <w:t xml:space="preserve">$250, tăng so với bản nền ICBEF 2025 (K=200 / k=113).</w:t>
      </w:r>
    </w:p>
    <w:p>
      <w:pPr>
        <w:numPr>
          <w:ilvl w:val="0"/>
          <w:numId w:val="1001"/>
        </w:numPr>
        <w:pStyle w:val="Compact"/>
      </w:pPr>
      <w:r>
        <w:rPr>
          <w:bCs/>
          <w:b/>
        </w:rPr>
        <w:t xml:space="preserve">Phân nhóm theo châu Á và Thái Bình Dương</w:t>
      </w:r>
      <w:r>
        <w:t xml:space="preserve">: tách riêng nhóm nghiên cứu về doanh nghiệp châu Á và Thái Bình Dương để cung cấp mốc nền trực tiếp cho giai đoạn thực nghiệm, đối chiếu với mẫu gộp 17 nước trong Do và Phan (2026a).</w:t>
      </w:r>
    </w:p>
    <w:bookmarkEnd w:id="25"/>
    <w:bookmarkStart w:id="26"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đưa vào: nghiên cứu thực nghiệm ở cấp doanh nghiệp, có đo lường quốc tế hóa và hiệu quả hoạt động, có đủ thống kê để tính độ lớn hiệu ứng (Pearson</w:t>
      </w:r>
      <w:r>
        <w:t xml:space="preserve"> </w:t>
      </w:r>
      <m:oMath>
        <m:r>
          <m:t>r</m:t>
        </m:r>
      </m:oMath>
      <w:r>
        <w:t xml:space="preserve">,</w:t>
      </w:r>
      <w:r>
        <w:t xml:space="preserve"> </w:t>
      </w:r>
      <m:oMath>
        <m:r>
          <m:t>β</m:t>
        </m:r>
      </m:oMath>
      <w:r>
        <w:t xml:space="preserve">, thống kê</w:t>
      </w:r>
      <w:r>
        <w:t xml:space="preserve"> </w:t>
      </w:r>
      <m:oMath>
        <m:r>
          <m:t>t</m:t>
        </m:r>
      </m:oMath>
      <w:r>
        <w:t xml:space="preserve">).</w:t>
      </w:r>
    </w:p>
    <w:bookmarkEnd w:id="26"/>
    <w:bookmarkEnd w:id="27"/>
    <w:bookmarkStart w:id="36" w:name="X2f2dc61cf51b22160123af8668c978f8ce43175"/>
    <w:p>
      <w:pPr>
        <w:pStyle w:val="Heading2"/>
      </w:pPr>
      <w:r>
        <w:t xml:space="preserve">3.3 Giai đoạn 2: Phân tích thực nghiệm đa quốc gia</w:t>
      </w:r>
    </w:p>
    <w:bookmarkStart w:id="28" w:name="nguồn-dữ-liệu"/>
    <w:p>
      <w:pPr>
        <w:pStyle w:val="Heading3"/>
      </w:pPr>
      <w:r>
        <w:t xml:space="preserve">3.3.1 Nguồn dữ liệu</w:t>
      </w:r>
    </w:p>
    <w:p>
      <w:pPr>
        <w:pStyle w:val="FirstParagraph"/>
      </w:pPr>
      <w:r>
        <w:t xml:space="preserve">Luận án sử dụng bộ Khảo sát Doanh nghiệp của Ngân hàng Thế giới (World Bank Enterprise Surveys) cho</w:t>
      </w:r>
      <w:r>
        <w:t xml:space="preserve"> </w:t>
      </w:r>
      <w:r>
        <w:rPr>
          <w:bCs/>
          <w:b/>
        </w:rPr>
        <w:t xml:space="preserve">47 nền kinh tế châu Á và Thái Bình Dương</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các kết quả ở cấp doanh nghiệp (Aterido et al., 2011).</w:t>
      </w:r>
    </w:p>
    <w:p>
      <w:pPr>
        <w:pStyle w:val="BodyText"/>
      </w:pPr>
      <w:r>
        <w:rPr>
          <w:bCs/>
          <w:b/>
        </w:rPr>
        <w:t xml:space="preserve">Cơ sở kế thừa</w:t>
      </w:r>
      <w:r>
        <w:t xml:space="preserve">: WBES đã được sử dụng rộng rãi trong nghiên cứu kinh doanh quốc tế về thị trường mới nổi (Ayyagari et al., 2011; Cuervo-Cazurra et al., 2018; Chen &amp; Meng, 2022), đồng thời đã được sử dụng trong bài nghiên cứu thực trạng châu Á mới nổi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Thái Bình Dương</w:t>
      </w:r>
      <w:r>
        <w:t xml:space="preserve">, với 6 chế độ con ICRV (Tiên tiến đổi mới, Tiên tiến dựa vào tài nguyên, Thu nhập trung bình cao, Mới nổi, Cận biên, Quốc đảo nhỏ Thái Bình Dương). Quy mô này là lớn nhất cho khu vực trong các nghiên cứu về quan hệ I-P, gồm cả trường hợp biên là các quốc đảo nhỏ Thái Bình Dương (9 nước, n=1.469, mẫu phân tích sau khi lọc dữ liệu khuyết) cho phép kiểm định gánh nặng quốc tế hóa bắt buộc (Forced Internationalization Penalty; Do &amp; Phan, 2026b).</w:t>
      </w:r>
    </w:p>
    <w:p>
      <w:pPr>
        <w:pStyle w:val="BlockText"/>
      </w:pPr>
      <w:r>
        <w:rPr>
          <w:bCs/>
          <w:b/>
        </w:rPr>
        <w:t xml:space="preserve">Ghi chú về trọng số khảo sát:</w:t>
      </w:r>
      <w:r>
        <w:t xml:space="preserve"> </w:t>
      </w:r>
      <w:r>
        <w:t xml:space="preserve">WBES cung cấp trọng số khảo sát để đại diện cho tổng thể doanh nghiệp trong từng quốc gia. Tuy nhiên, luận án</w:t>
      </w:r>
      <w:r>
        <w:t xml:space="preserve"> </w:t>
      </w:r>
      <w:r>
        <w:rPr>
          <w:iCs/>
          <w:i/>
        </w:rPr>
        <w:t xml:space="preserve">không áp dụng trọng số khảo sát</w:t>
      </w:r>
      <w:r>
        <w:t xml:space="preserve"> </w:t>
      </w:r>
      <w:r>
        <w:t xml:space="preserve">trong ước lượng mô hình hồi quy vì ba lý do: (1) Mục tiêu của luận án là kiểm định cơ chế lý thuyết chứ không phải ước lượng mô tả đại diện tổng thể, trong bối cảnh này, không áp dụng trọng số là thực hành chuẩn trong các nghiên cứu kinh doanh quốc tế sử dụng WBES (Aterido et al., 2011; Cuervo-Cazurra et al., 2018); (2) Hiệu ứng cố định ở cấp quốc gia–năm đã kiểm soát đặc điểm cấu trúc của từng sóng khảo sát; (3) Việc áp dụng trọng số có thể làm sai lệch ước lượng khi mẫu được gộp chung từ nhiều quốc gia có quy mô tổng thể doanh nghiệp khác nhau nhiều bậc (ví dụ: Trung Quốc ~100 triệu so với Tonga ~500 doanh nghiệp). Phân tích độ nhạy có áp dụng trọng số khảo sát cho từng quốc gia riêng lẻ (phân tích Việt Nam, Singapore và Trung Quốc)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doanh thu năm</m:t>
            </m:r>
            <m:r>
              <m:rPr>
                <m:sty m:val="p"/>
              </m:rPr>
              <m:t>/</m:t>
            </m:r>
            <m:r>
              <m:rPr>
                <m:nor/>
                <m:sty m:val="p"/>
              </m:rPr>
              <m:t>lao động toàn thời gian thường xuyên</m:t>
            </m:r>
          </m:e>
        </m:d>
      </m:oMath>
      <w:r>
        <w:t xml:space="preserve">.</w:t>
      </w:r>
    </w:p>
    <w:p>
      <w:pPr>
        <w:pStyle w:val="BodyText"/>
      </w:pPr>
      <w:r>
        <w:rPr>
          <w:bCs/>
          <w:b/>
        </w:rPr>
        <w:t xml:space="preserve">Cơ sở kế thừa</w:t>
      </w:r>
      <w:r>
        <w:t xml:space="preserve">: Năng suất lao động được sử dụng rộng rãi trong nghiên cứu WBES và trong các nghiên cứu về năng suất doanh nghiệp (Bloom et al., 2012; Hsieh &amp; Klenow, 2009). Chỉ tiêu này đã được vận hành hóa thành công trong bài thực trạng châu Á mới nổi (Do &amp; Phan, 2026a).</w:t>
      </w:r>
    </w:p>
    <w:p>
      <w:pPr>
        <w:pStyle w:val="BodyText"/>
      </w:pPr>
      <w:r>
        <w:rPr>
          <w:bCs/>
          <w:b/>
        </w:rPr>
        <w:t xml:space="preserve">Lập luận chọn</w:t>
      </w:r>
      <w:r>
        <w:t xml:space="preserve">: WBES không phải bộ báo cáo tài chính đầy đủ, nên năng suất lao động phù hợp hơn ROA/ROE/ROS trong bối cảnh đa quốc gia. Ngoài ra, năng suất lao động có tính so sánh xuyên quốc gia cao hơn do không bị ảnh hưởng bởi chuẩn mực kế toán khác biệt (Combs et al., 2005; Richard et al., 2009).</w:t>
      </w:r>
    </w:p>
    <w:p>
      <w:pPr>
        <w:pStyle w:val="BodyText"/>
      </w:pPr>
      <w:r>
        <w:rPr>
          <w:bCs/>
          <w:b/>
        </w:rPr>
        <w:t xml:space="preserve">Biến kiểm định độ vững</w:t>
      </w:r>
      <w:r>
        <w:t xml:space="preserve">: ROS, tăng trưởng doanh thu, tăng trưởng lao động,</w:t>
      </w:r>
      <w:r>
        <w:t xml:space="preserve"> </w:t>
      </w:r>
      <m:oMath>
        <m:r>
          <m:rPr>
            <m:sty m:val="p"/>
          </m:rPr>
          <m:t>ln</m:t>
        </m:r>
      </m:oMath>
      <w:r>
        <w:t xml:space="preserve">(doanh thu năm).</w:t>
      </w:r>
    </w:p>
    <w:p>
      <w:pPr>
        <w:pStyle w:val="BodyText"/>
      </w:pPr>
      <w:r>
        <w:rPr>
          <w:bCs/>
          <w:b/>
        </w:rPr>
        <w:t xml:space="preserve">Đóng góp mới</w:t>
      </w:r>
      <w:r>
        <w:t xml:space="preserve">: lập luận rõ ràng rằng hiệu quả hoạt động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tỷ lệ doanh thu xuất khẩu trên tổng doanh thu (Foreign Sales to Total Sales, FSTS).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w:t>
      </w:r>
      <w:r>
        <w:t xml:space="preserve">và</w:t>
      </w:r>
      <w:r>
        <w:t xml:space="preserve"> </w:t>
      </w:r>
      <m:oMath>
        <m:r>
          <m:t>F</m:t>
        </m:r>
        <m:r>
          <m:t>S</m:t>
        </m:r>
        <m:r>
          <m:t>T</m:t>
        </m:r>
        <m:sSup>
          <m:e>
            <m:r>
              <m:t>S</m:t>
            </m:r>
          </m:e>
          <m:sup>
            <m:r>
              <m:t>3</m:t>
            </m:r>
          </m:sup>
        </m:sSup>
      </m:oMath>
      <w:r>
        <w:t xml:space="preserve"> </w:t>
      </w:r>
      <w:r>
        <w:t xml:space="preserve">để kiểm định phi tuyến dạng S và dạng bậc ba.</w:t>
      </w:r>
    </w:p>
    <w:p>
      <w:pPr>
        <w:pStyle w:val="BodyText"/>
      </w:pPr>
      <w:r>
        <w:rPr>
          <w:bCs/>
          <w:b/>
        </w:rPr>
        <w:t xml:space="preserve">Cơ sở kế thừa</w:t>
      </w:r>
      <w:r>
        <w:t xml:space="preserve">: FSTS là thước đo quốc tế hóa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Đặc tả bậc ba được Do và Phan (2026b) xác nhận có ý nghĩa thống kê ở Trung Quốc với điểm uốn ~47,8% FSTS, làm mốc nền cho việc kiểm định mở rộng trong luận án.</w:t>
      </w:r>
    </w:p>
    <w:bookmarkEnd w:id="30"/>
    <w:bookmarkStart w:id="34" w:name="đo-lường-biến-điều-tiết"/>
    <w:p>
      <w:pPr>
        <w:pStyle w:val="Heading3"/>
      </w:pPr>
      <w:r>
        <w:t xml:space="preserve">3.3.4 Đo lường biến điều tiết</w:t>
      </w:r>
    </w:p>
    <w:bookmarkStart w:id="31" w:name="các-khái-niệm-số-hóa-tci-và-dai"/>
    <w:p>
      <w:pPr>
        <w:pStyle w:val="Heading4"/>
      </w:pPr>
      <w:r>
        <w:t xml:space="preserve">Các khái niệm số hóa (TCI và DAI)</w:t>
      </w:r>
    </w:p>
    <w:p>
      <w:pPr>
        <w:pStyle w:val="FirstParagraph"/>
      </w:pPr>
      <w:r>
        <w:t xml:space="preserve">Luận án phân biệt rõ hai khái niệm:</w:t>
      </w:r>
    </w:p>
    <w:p>
      <w:pPr>
        <w:numPr>
          <w:ilvl w:val="0"/>
          <w:numId w:val="1002"/>
        </w:numPr>
        <w:pStyle w:val="Compact"/>
      </w:pPr>
      <w:r>
        <w:rPr>
          <w:bCs/>
          <w:b/>
        </w:rPr>
        <w:t xml:space="preserve">Chỉ số năng lực công nghệ (Technological Capability Index, TCI)</w:t>
      </w:r>
      <w:r>
        <w:t xml:space="preserve">: chiều sâu năng lực công nghệ, tổng hợp từ cấp phép công nghệ nước ngoài, chi tiêu R&amp;D, đổi mới sản phẩm và chứng nhận chất lượng.</w:t>
      </w:r>
    </w:p>
    <w:p>
      <w:pPr>
        <w:numPr>
          <w:ilvl w:val="0"/>
          <w:numId w:val="1002"/>
        </w:numPr>
        <w:pStyle w:val="Compact"/>
      </w:pPr>
      <w:r>
        <w:rPr>
          <w:bCs/>
          <w:b/>
        </w:rPr>
        <w:t xml:space="preserve">Chỉ số áp dụng số (Digital Adoption Index, DAI)</w:t>
      </w:r>
      <w:r>
        <w:t xml:space="preserve">: mức độ áp dụng số ở bề mặt, tổng hợp từ website, email, bán hàng trực tuyến (DAI_thin) hoặc bổ sung thanh toán điện tử và nhà cung ứng điện tử (DAI_rich).</w:t>
      </w:r>
    </w:p>
    <w:p>
      <w:pPr>
        <w:pStyle w:val="FirstParagraph"/>
      </w:pPr>
      <w:r>
        <w:rPr>
          <w:bCs/>
          <w:b/>
        </w:rPr>
        <w:t xml:space="preserve">Nguyên tắc không chồng lấn</w:t>
      </w:r>
      <w:r>
        <w:t xml:space="preserve">: TCI và DAI không chia sẻ thành phần nào để bảo đảm tính thuần nhất khái niệm. Đặc biệt, cấp phép công nghệ nước ngoài thuộc TCI chứ không đồng thời tính vào DAI.</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cấp độ (số hóa dữ liệu, số hóa quy trình, chuyển đổi số). Khuôn mẫu</w:t>
      </w:r>
      <w:r>
        <w:t xml:space="preserve"> </w:t>
      </w:r>
      <w:r>
        <w:t xml:space="preserve">“</w:t>
      </w:r>
      <w:r>
        <w:t xml:space="preserve">hiệu ứng thay thế số cho thể chế</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quy trình hòa hợp đo lường</w:t>
      </w:r>
      <w:r>
        <w:t xml:space="preserve"> </w:t>
      </w:r>
      <w:r>
        <w:t xml:space="preserve">trong bối cảnh WBES, đảm bảo tính thuần nhất khái niệm ở 47 nền kinh tế châu Á và Thái Bình Dương, với quy trình hòa hợp ba thế hệ lược đồ dữ liệu. Phân tách TCI và DAI dựa theo: (i) Bharadwaj et al. (2013), năng lực CNTT và chiến lược kinh doanh số có mạng lưới quan hệ khái niệm khác nhau; (ii) phân tầng ba cấp của Verhoef et al. (2021): số hóa dữ liệu, số hóa quy trình, chuyển đổi số; (iii) truyền thống Lall (1992) và Cohen &amp; Levinthal (1990) coi năng lực công nghệ là chiều sâu năng lực nội tại (năng lực hấp thụ), khác về bản chất với áp dụng số ở giao diện ngoại tại; (iv) logic điều phối nguồn lực của Bhandari et al. (2023) cho quan hệ I-P; và (v) bốn tiêu chí của chỉ số tổng hợp dạng cấu thành theo Coltman et al. (2008), đảm bảo TCI và DAI là hai chỉ số tổng hợp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chỉ số rào cản kinh doanh (tổng hợp từ các câu hỏi WBES về rào cản), biến đại diện quản trị cấp quốc gia, chỉ số pháp quyền WGI (Kaufmann et al., 2011),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bằng chứng từ phân tích tổng hợp về các biến điều tiết thể chế.</w:t>
      </w:r>
    </w:p>
    <w:bookmarkEnd w:id="32"/>
    <w:bookmarkStart w:id="33" w:name="Xfb44f2024dccf47e8995eec793f94f6e82c83b5"/>
    <w:p>
      <w:pPr>
        <w:pStyle w:val="Heading4"/>
      </w:pPr>
      <w:r>
        <w:t xml:space="preserve">Đặc điểm nhà quản trị cấp cao (kiểm soát quản trị nội sinh H4)</w:t>
      </w:r>
    </w:p>
    <w:p>
      <w:pPr>
        <w:pStyle w:val="FirstParagraph"/>
      </w:pPr>
      <w:r>
        <w:rPr>
          <w:bCs/>
          <w:b/>
        </w:rPr>
        <w:t xml:space="preserve">Biến kiểm soát</w:t>
      </w:r>
      <w:r>
        <w:t xml:space="preserve">: kinh nghiệm nhà quản trị cấp cao (số năm), học vấn nhà quản trị cấp cao, giới tính nhà quản trị cấp cao (nữ/nam). Ba biến này được đưa vào như nhóm biến kiểm soát quản trị nội sinh, ở dạng số hạng chính nâng mặt bằng hiệu quả,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(phân tích Việt Nam, Singapore và Trung Quốc). Số hạng tương tác với FSTS chỉ được báo cáo như chẩn đoán phụ trợ, không phải bằng chứng điều tiết trọng tâm.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số lao động, tuổi doanh nghiệp, biến giả sở hữu nước ngoài, biến giả ngành, hiệu ứng cố định quốc gia, hiệu ứng cố định năm.</w:t>
      </w:r>
    </w:p>
    <w:p>
      <w:pPr>
        <w:pStyle w:val="BodyText"/>
      </w:pPr>
      <w:r>
        <w:rPr>
          <w:bCs/>
          <w:b/>
        </w:rPr>
        <w:t xml:space="preserve">Cơ sở kế thừa</w:t>
      </w:r>
      <w:r>
        <w:t xml:space="preserve">: chuẩn trong nghiên cứu WBES và kinh doanh quốc tế (Aterido et al., 2011; Ayyagari et al., 2011).</w:t>
      </w:r>
    </w:p>
    <w:bookmarkEnd w:id="35"/>
    <w:bookmarkEnd w:id="36"/>
    <w:bookmarkStart w:id="50" w:name="mô-hình-phân-tích"/>
    <w:p>
      <w:pPr>
        <w:pStyle w:val="Heading2"/>
      </w:pPr>
      <w:r>
        <w:t xml:space="preserve">3.4 Mô hình phân tích</w:t>
      </w:r>
    </w:p>
    <w:bookmarkStart w:id="37" w:name="mô-hình-phân-tích-tổng-hợp"/>
    <w:p>
      <w:pPr>
        <w:pStyle w:val="Heading3"/>
      </w:pPr>
      <w:r>
        <w:t xml:space="preserve">3.4.1 Mô hình phân tích tổng hợp</w:t>
      </w:r>
    </w:p>
    <w:p>
      <w:pPr>
        <w:pStyle w:val="FirstParagraph"/>
      </w:pPr>
      <w:r>
        <w:t xml:space="preserve">Mô hình hiệu ứng ngẫu nhiên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độ lớn hiệu ứng của nghiên cứu</w:t>
      </w:r>
      <w:r>
        <w:t xml:space="preserve"> </w:t>
      </w:r>
      <m:oMath>
        <m:r>
          <m:t>i</m:t>
        </m:r>
      </m:oMath>
      <w:r>
        <w:t xml:space="preserve">. Độ lớn hiệu ứng gộp tính theo trọng số nghịch đảo phương sai (Borenstein et al., 2009).</w:t>
      </w:r>
    </w:p>
    <w:p>
      <w:pPr>
        <w:pStyle w:val="BodyText"/>
      </w:pPr>
      <w:r>
        <w:t xml:space="preserve">Tính không đồng nhất đo bằng</w:t>
      </w:r>
      <w:r>
        <w:t xml:space="preserve"> </w:t>
      </w:r>
      <m:oMath>
        <m:r>
          <m:t>Q</m:t>
        </m:r>
      </m:oMath>
      <w:r>
        <w:t xml:space="preserve">-test và</w:t>
      </w:r>
      <w:r>
        <w:t xml:space="preserve"> </w:t>
      </w:r>
      <m:oMath>
        <m:sSup>
          <m:e>
            <m:r>
              <m:t>I</m:t>
            </m:r>
          </m:e>
          <m:sup>
            <m:r>
              <m:t>2</m:t>
            </m:r>
          </m:sup>
        </m:sSup>
      </m:oMath>
      <w:r>
        <w:t xml:space="preserve"> </w:t>
      </w:r>
      <w:r>
        <w:t xml:space="preserve">(Higgins et al., 2003). Phân tích phân nhóm và hồi quy tổng hợp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37"/>
    <w:bookmarkStart w:id="38"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véc-tơ các biến kiểm soát.</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quan hệ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bậc ba theo đặc tả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(2026b) cho đặc tả bậc ba ở Trung Quốc với điểm uốn ~47,8% FSTS.</w:t>
      </w:r>
    </w:p>
    <w:p>
      <w:pPr>
        <w:pStyle w:val="BodyText"/>
      </w:pPr>
      <w:r>
        <w:rPr>
          <w:bCs/>
          <w:b/>
        </w:rPr>
        <w:t xml:space="preserve">Kiểm định U của Lind-Mehlum</w:t>
      </w:r>
      <w:r>
        <w:t xml:space="preserve"> </w:t>
      </w:r>
      <w:r>
        <w:t xml:space="preserve">(Lind &amp; Mehlum, 2010; Haans et al., 2016) để xác nhận chặt chữ U ngược: kiểm định độ dốc dương ở bên trái và độ dốc âm ở bên phải của miền</w:t>
      </w:r>
      <w:r>
        <w:t xml:space="preserve"> </w:t>
      </w:r>
      <m:oMath>
        <m:r>
          <m:t>F</m:t>
        </m:r>
        <m:r>
          <m:t>S</m:t>
        </m:r>
        <m:r>
          <m:t>T</m:t>
        </m:r>
        <m:r>
          <m:t>S</m:t>
        </m:r>
      </m:oMath>
      <w:r>
        <w:t xml:space="preserve">.</w:t>
      </w:r>
    </w:p>
    <w:bookmarkEnd w:id="39"/>
    <w:bookmarkStart w:id="42" w:name="mô-hình-điều-tiết-h2-h6"/>
    <w:p>
      <w:pPr>
        <w:pStyle w:val="Heading3"/>
      </w:pPr>
      <w:r>
        <w:t xml:space="preserve">3.4.4 Mô hình điều tiết (H2-H6)</w:t>
      </w:r>
    </w:p>
    <w:bookmarkStart w:id="40"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40"/>
    <w:bookmarkStart w:id="41"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số hóa (DAI),</w:t>
      </w:r>
      <w:r>
        <w:t xml:space="preserve"> </w:t>
      </w:r>
      <m:oMath>
        <m:r>
          <m:t>I</m:t>
        </m:r>
      </m:oMath>
      <w:r>
        <w:t xml:space="preserve"> </w:t>
      </w:r>
      <w:r>
        <w:t xml:space="preserve">= thể chế (ICRV) là hai nhân tố điều tiết trọng tâm, và</w:t>
      </w:r>
      <w:r>
        <w:t xml:space="preserve"> </w:t>
      </w:r>
      <m:oMath>
        <m:r>
          <m:t>M</m:t>
        </m:r>
      </m:oMath>
      <w:r>
        <w:t xml:space="preserve"> </w:t>
      </w:r>
      <w:r>
        <w:t xml:space="preserve">= đặc điểm nhà quản trị được đưa vào như khối kiểm soát quản trị nội sinh.</w:t>
      </w:r>
    </w:p>
    <w:p>
      <w:pPr>
        <w:pStyle w:val="BodyText"/>
      </w:pPr>
      <w:r>
        <w:rPr>
          <w:bCs/>
          <w:b/>
        </w:rPr>
        <w:t xml:space="preserve">Cơ sở kế thừa</w:t>
      </w:r>
      <w:r>
        <w:t xml:space="preserve">: chuẩn về điều tiết trong quản trị chiến lược (Aiken &amp; West, 1991; Dawson, 2014).</w:t>
      </w:r>
    </w:p>
    <w:p>
      <w:pPr>
        <w:pStyle w:val="BodyText"/>
      </w:pPr>
      <w:r>
        <w:rPr>
          <w:bCs/>
          <w:b/>
        </w:rPr>
        <w:t xml:space="preserve">Đóng góp mới</w:t>
      </w:r>
      <w:r>
        <w:t xml:space="preserve">: điều tiết trọng tâm số hóa × thể chế (DAI × ICRV) trong bối cảnh châu Á và Thái Bình Dương với 47 nước chưa được kiểm định trước đây, với đặc điểm nhà quản trị giữ vai trò kiểm soát quản trị nội sinh nhằm bảo vệ tính nhân quả thuần khiết của tương tác Thể chế × Công nghệ.</w:t>
      </w:r>
    </w:p>
    <w:bookmarkEnd w:id="41"/>
    <w:bookmarkEnd w:id="42"/>
    <w:bookmarkStart w:id="43" w:name="X1792121fa728e86189eaf569568ca359e99a435"/>
    <w:p>
      <w:pPr>
        <w:pStyle w:val="Heading3"/>
      </w:pPr>
      <w:r>
        <w:t xml:space="preserve">3.4.5 Mô hình tính không đồng nhất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diễn tiến hai mươi năm; Xiao et al. (2013) với các điều kiện bối cảnh riêng của Trung Quốc; Do và Phan (2026b) làm mốc nền bậc ba 2012.</w:t>
      </w:r>
    </w:p>
    <w:p>
      <w:pPr>
        <w:pStyle w:val="BodyText"/>
      </w:pPr>
      <w:r>
        <w:rPr>
          <w:bCs/>
          <w:b/>
        </w:rPr>
        <w:t xml:space="preserve">Đóng góp mới</w:t>
      </w:r>
      <w:r>
        <w:t xml:space="preserve">: áp dụng cho Trung Quốc 2012 và 2024 để kiểm định tính ổn định của điểm uốn bậc ba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mẫu gộp.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(ISIC 1 chữ số);</w:t>
      </w:r>
      <w:r>
        <w:t xml:space="preserve"> </w:t>
      </w:r>
      <w:r>
        <w:rPr>
          <w:bCs/>
          <w:b/>
        </w:rPr>
        <w:t xml:space="preserve">λ_t</w:t>
      </w:r>
      <w:r>
        <w:t xml:space="preserve">: hiệu ứng cố định sóng (chỉ mẫu gộp)</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mẫu gộp. Mô hình được ước lượng riêng cho 3 sóng và mẫu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chữ U ngược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w:t>
            </w:r>
          </w:p>
        </w:tc>
        <w:tc>
          <w:tcPr/>
          <w:p>
            <w:pPr>
              <w:pStyle w:val="Compact"/>
              <w:jc w:val="left"/>
            </w:pPr>
            <w:r>
              <w:t xml:space="preserve">chỉ báo sóng khảo sát (chỉ mẫu gộp)</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phân tích Việt Nam ở chỗ bao gồm thanh toán điện tử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phân tích Việt Nam</w:t>
      </w:r>
    </w:p>
    <w:p>
      <w:pPr>
        <w:numPr>
          <w:ilvl w:val="0"/>
          <w:numId w:val="1004"/>
        </w:numPr>
        <w:pStyle w:val="Compact"/>
      </w:pPr>
      <w:r>
        <w:rPr>
          <w:bCs/>
          <w:b/>
        </w:rPr>
        <w:t xml:space="preserve">δ_s</w:t>
      </w:r>
      <w:r>
        <w:t xml:space="preserve">: hiệu ứng cố định ngành (ISIC 1 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(Cơ sở):</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 trung bình mẫu</w:t>
      </w:r>
      <w:r>
        <w:t xml:space="preserve"> </w:t>
      </w:r>
      <m:oMath>
        <m:r>
          <m:rPr>
            <m:sty m:val="p"/>
          </m:rPr>
          <m:t>≈</m:t>
        </m:r>
      </m:oMath>
      <w:r>
        <w:t xml:space="preserve"> </w:t>
      </w:r>
      <w:r>
        <w:t xml:space="preserve">82%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(cơ chế nền tảng phối hợp;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mẫu gộp N = 4.544). Thiết kế đa sóng không phải panel (217 doanh nghiệp xuất hiện cả hai sóng tạo thành nhóm lõi, được sử dụng cho sai số chuẩn vững theo cụm).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phân tích Việt Nam</w:t>
      </w:r>
    </w:p>
    <w:p>
      <w:pPr>
        <w:numPr>
          <w:ilvl w:val="0"/>
          <w:numId w:val="1005"/>
        </w:numPr>
        <w:pStyle w:val="Compact"/>
      </w:pPr>
      <w:r>
        <w:rPr>
          <w:bCs/>
          <w:b/>
        </w:rPr>
        <w:t xml:space="preserve">CSS_z_it</w:t>
      </w:r>
      <w:r>
        <w:t xml:space="preserve"> </w:t>
      </w:r>
      <w:r>
        <w:t xml:space="preserve">= DAI_core_it: chỉ số số hoá cơ bản, chỉ c22b₀₁ (Tier-1 mỏng, đơn biến nhị phân)</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hiệu ứng cố định ngành;</w:t>
      </w:r>
      <w:r>
        <w:t xml:space="preserve"> </w:t>
      </w:r>
      <w:r>
        <w:rPr>
          <w:bCs/>
          <w:b/>
        </w:rPr>
        <w:t xml:space="preserve">λ_t</w:t>
      </w:r>
      <w:r>
        <w:t xml:space="preserve">: hiệu ứng cố định sóng (chỉ mẫu gộp)</w:t>
      </w:r>
    </w:p>
    <w:p>
      <w:pPr>
        <w:pStyle w:val="FirstParagraph"/>
      </w:pPr>
      <w:r>
        <w:rPr>
          <w:bCs/>
          <w:b/>
        </w:rPr>
        <w:t xml:space="preserve">Chuỗi mô hình lồng nhau M0-M6:</w:t>
      </w:r>
    </w:p>
    <w:p>
      <w:pPr>
        <w:pStyle w:val="BlockText"/>
      </w:pPr>
      <w:r>
        <w:t xml:space="preserve">M0 (Cơ sở):</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(mẫu gộp)</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điều tiết DAI bậc nhất và bậc hai (H3)):</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kết luận không có điều tiết năng lực–độ cong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(nhị phân)</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ngành ISIC</w:t>
            </w:r>
          </w:p>
        </w:tc>
        <w:tc>
          <w:tcPr/>
          <w:p>
            <w:pPr>
              <w:pStyle w:val="Compact"/>
              <w:jc w:val="left"/>
            </w:pPr>
            <w:r>
              <w:t xml:space="preserve">hiệu ứng cố định ngành</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sóng (2012/2024)</w:t>
            </w:r>
          </w:p>
        </w:tc>
        <w:tc>
          <w:tcPr/>
          <w:p>
            <w:pPr>
              <w:pStyle w:val="Compact"/>
              <w:jc w:val="left"/>
            </w:pPr>
            <w:r>
              <w:t xml:space="preserve">hiệu ứng cố định sóng (chỉ mẫu gộp)</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(nhóm lõi xuất hiện hai sóng) tạo thêm nhận dạng biến thiên trong mẫu, trong khi sai số chuẩn gom cụm theo idstd xử lý tương quan nội nhóm. DAI Trung Quốc chỉ là Tier-1 đơn biến, không đủ để kiểm định CDCM; hàm ý chính sách và lý thuyết khác với phân tích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45 nền kinh tế châu Á và Thái Bình Dương</w:t>
      </w:r>
      <w:r>
        <w:t xml:space="preserve"> </w:t>
      </w:r>
      <w:r>
        <w:t xml:space="preserve">(98 cặp quốc gia × năm, 2003-2025). Mẫu phân tích toàn phần đạt N = 82.302 (M0-M2) đến N = 28.500 (M11 đầy đủ). Thiết kế OLS phân cấp với sai số chuẩn vững HC1, gom cụm theo quốc gia–năm.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điều chỉnh trung bình,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chuẩn hoá z, TCI_z = z-std(b8, e6)</w:t>
      </w:r>
    </w:p>
    <w:p>
      <w:pPr>
        <w:numPr>
          <w:ilvl w:val="0"/>
          <w:numId w:val="1006"/>
        </w:numPr>
        <w:pStyle w:val="Compact"/>
      </w:pPr>
      <w:r>
        <w:rPr>
          <w:bCs/>
          <w:b/>
        </w:rPr>
        <w:t xml:space="preserve">CSS_z_it</w:t>
      </w:r>
      <w:r>
        <w:t xml:space="preserve">: chỉ số số hoá chuẩn hoá z, DAI_z = z-std(website + thanh toán điện tử,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nhà quản trị cấp cao là nữ (nhị phân, b7a/b6a)</w:t>
      </w:r>
    </w:p>
    <w:p>
      <w:pPr>
        <w:numPr>
          <w:ilvl w:val="0"/>
          <w:numId w:val="1006"/>
        </w:numPr>
        <w:pStyle w:val="Compact"/>
      </w:pPr>
      <w:r>
        <w:rPr>
          <w:bCs/>
          <w:b/>
        </w:rPr>
        <w:t xml:space="preserve">ICRV_j</w:t>
      </w:r>
      <w:r>
        <w:t xml:space="preserve">: phân loại chế độ thể chế ICRV (số nguyên 1-6, từ Tiên tiến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hiệu ứng cố định quốc gia × năm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cơ sở):</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hiệu ứng cố định quốc gia–năm,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671</m:t>
          </m:r>
          <m:r>
            <m:rPr>
              <m:sty m:val="p"/>
            </m:rPr>
            <m:t>;</m:t>
          </m:r>
          <m:r>
            <m:t> </m:t>
          </m:r>
          <m:r>
            <m:t>T</m:t>
          </m:r>
          <m:r>
            <m:t>P</m:t>
          </m:r>
          <m:r>
            <m:rPr>
              <m:sty m:val="p"/>
            </m:rPr>
            <m:t>≈</m:t>
          </m:r>
          <m:r>
            <m:t>39</m:t>
          </m:r>
          <m:r>
            <m:rPr>
              <m:sty m:val="p"/>
            </m:rPr>
            <m:t>,</m:t>
          </m:r>
          <m:r>
            <m:t>5</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như kiểm soát quản trị nội sinh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202</m:t>
              </m:r>
            </m:e>
            <m:sup>
              <m:r>
                <m:rPr>
                  <m:sty m:val="p"/>
                </m:rPr>
                <m:t>*</m:t>
              </m:r>
              <m:r>
                <m:rPr>
                  <m:sty m:val="p"/>
                </m:rPr>
                <m:t>*</m:t>
              </m:r>
              <m:r>
                <m:rPr>
                  <m:sty m:val="p"/>
                </m:rPr>
                <m:t>*</m:t>
              </m:r>
            </m:sup>
          </m:sSup>
          <m:r>
            <m:rPr>
              <m:nor/>
              <m:sty m:val="p"/>
            </m:rPr>
            <m:t> (nhà quản trị cấp cao là nữ: hiệu ứng nâng mặt bằng, lợi thế hiệu quả  22%xuyên bối cảnh)</m:t>
          </m:r>
        </m:oMath>
      </m:oMathPara>
    </w:p>
    <w:p>
      <w:pPr>
        <w:pStyle w:val="FirstParagraph"/>
      </w:pPr>
      <m:oMathPara>
        <m:oMathParaPr>
          <m:jc m:val="center"/>
        </m:oMathParaPr>
        <m:oMath>
          <m:r>
            <m:rPr>
              <m:nor/>
              <m:sty m:val="p"/>
            </m:rPr>
            <m:t>Số hạng </m:t>
          </m:r>
          <m:sSub>
            <m:e>
              <m:r>
                <m:t>β</m:t>
              </m:r>
            </m:e>
            <m:sub>
              <m:r>
                <m:t>9</m:t>
              </m:r>
            </m:sub>
          </m:sSub>
          <m:r>
            <m:rPr>
              <m:sty m:val="p"/>
            </m:rPr>
            <m:t>,</m:t>
          </m:r>
          <m:sSub>
            <m:e>
              <m:r>
                <m:t>β</m:t>
              </m:r>
            </m:e>
            <m:sub>
              <m:r>
                <m:t>10</m:t>
              </m:r>
            </m:sub>
          </m:sSub>
          <m:r>
            <m:rPr>
              <m:nor/>
              <m:sty m:val="p"/>
            </m:rPr>
            <m:t> là kiểm soát mức; số hạng tương tác </m:t>
          </m:r>
          <m:sSub>
            <m:e>
              <m:r>
                <m:t>β</m:t>
              </m:r>
            </m:e>
            <m:sub>
              <m:r>
                <m:t>11</m:t>
              </m:r>
            </m:sub>
          </m:sSub>
          <m:r>
            <m:rPr>
              <m:nor/>
              <m:sty m:val="p"/>
            </m:rPr>
            <m:t> chỉ là chẩn đoán phụ trợ, không phải bằng chứng điều tiết trọng tâm.</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d>
            <m:dPr>
              <m:begChr m:val="|"/>
              <m:endChr m:val="|"/>
              <m:sepChr m:val=""/>
              <m:grow/>
            </m:dPr>
            <m:e>
              <m:sSub>
                <m:e>
                  <m:r>
                    <m:t>β</m:t>
                  </m:r>
                </m:e>
                <m:sub>
                  <m:r>
                    <m:t>2</m:t>
                  </m:r>
                </m:sub>
              </m:sSub>
            </m:e>
          </m:d>
          <m:r>
            <m:rPr>
              <m:nor/>
              <m:sty m:val="p"/>
            </m:rPr>
            <m:t> (độ cong) tăng khi ICRV tăng (thể chế yếu hơn): </m:t>
          </m:r>
          <m:r>
            <m:t>C</m:t>
          </m:r>
          <m:r>
            <m:t>D</m:t>
          </m:r>
          <m:r>
            <m:t>D</m:t>
          </m:r>
          <m:r>
            <m:t>X</m:t>
          </m:r>
          <m:r>
            <m:t>K</m:t>
          </m:r>
          <m:r>
            <m:rPr>
              <m:sty m:val="p"/>
            </m:rPr>
            <m:t>_</m:t>
          </m:r>
          <m:sSup>
            <m:e>
              <m:r>
                <m:t>c</m:t>
              </m:r>
            </m:e>
            <m:sup>
              <m:r>
                <m:t>2</m:t>
              </m:r>
            </m:sup>
          </m:sSup>
          <m:r>
            <m:rPr>
              <m:sty m:val="p"/>
            </m:rPr>
            <m:t>×</m:t>
          </m:r>
          <m:r>
            <m:t>I</m:t>
          </m:r>
          <m:r>
            <m:t>C</m:t>
          </m:r>
          <m:r>
            <m:t>R</m:t>
          </m:r>
          <m:r>
            <m:t>V</m:t>
          </m:r>
          <m:r>
            <m:rPr>
              <m:sty m:val="p"/>
            </m:rPr>
            <m:t>&lt;</m:t>
          </m:r>
          <m:r>
            <m:t>0</m:t>
          </m:r>
          <m:r>
            <m:rPr>
              <m:sty m:val="p"/>
            </m:rPr>
            <m:t>;</m:t>
          </m:r>
          <m:r>
            <m:t> </m:t>
          </m:r>
          <m:r>
            <m:rPr>
              <m:nor/>
              <m:sty m:val="p"/>
            </m:rPr>
            <m:t>điểm uốn không dịch chuyển đơn điệu</m:t>
          </m:r>
        </m:oMath>
      </m:oMathPara>
    </w:p>
    <w:p>
      <w:pPr>
        <w:pStyle w:val="FirstParagraph"/>
      </w:pPr>
      <w:r>
        <w:rPr>
          <w:bCs/>
          <w:b/>
        </w:rPr>
        <w:t xml:space="preserve">M11</w:t>
      </w:r>
      <w:r>
        <w:t xml:space="preserve"> </w:t>
      </w:r>
      <w:r>
        <w:t xml:space="preserve">(full three-way, kiểm định H7-phân tích đa quốc gia):</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049</m:t>
              </m:r>
            </m:e>
            <m:sup>
              <m:r>
                <m:rPr>
                  <m:sty m:val="p"/>
                </m:rPr>
                <m:t>*</m:t>
              </m:r>
            </m:sup>
          </m:sSup>
          <m:r>
            <m:rPr>
              <m:sty m:val="p"/>
            </m:rPr>
            <m:t>;</m:t>
          </m:r>
          <m:r>
            <m:t> </m:t>
          </m:r>
          <m:r>
            <m:rPr>
              <m:nor/>
              <m:sty m:val="p"/>
            </m:rPr>
            <m:t>three-way NS</m:t>
          </m:r>
          <m:r>
            <m:rPr>
              <m:sty m:val="p"/>
            </m:rPr>
            <m:t>;</m:t>
          </m:r>
          <m:r>
            <m:t> </m:t>
          </m:r>
          <m:r>
            <m:t>T</m:t>
          </m:r>
          <m:r>
            <m:t>P</m:t>
          </m:r>
          <m:r>
            <m:rPr>
              <m:sty m:val="p"/>
            </m:rPr>
            <m:t>=</m:t>
          </m:r>
          <m:r>
            <m:t>25</m:t>
          </m:r>
          <m:r>
            <m:rPr>
              <m:sty m:val="p"/>
            </m:rPr>
            <m:t>,</m:t>
          </m:r>
          <m:r>
            <m:t>7</m:t>
          </m:r>
          <m:r>
            <m:rPr>
              <m:sty m:val="p"/>
            </m:rPr>
            <m:t>%</m:t>
          </m:r>
          <m:r>
            <m:rPr>
              <m:sty m:val="p"/>
            </m:rPr>
            <m:t>,</m:t>
          </m:r>
          <m:r>
            <m:t> </m:t>
          </m:r>
          <m:r>
            <m:rPr>
              <m:nor/>
              <m:sty m:val="p"/>
            </m:rPr>
            <m:t>LM </m:t>
          </m:r>
          <m:r>
            <m:t>p</m:t>
          </m:r>
          <m:r>
            <m:rPr>
              <m:sty m:val="p"/>
            </m:rPr>
            <m:t>=</m:t>
          </m:r>
          <m:r>
            <m:rPr>
              <m:sty m:val="p"/>
            </m:rPr>
            <m:t>,</m:t>
          </m:r>
          <m:r>
            <m:t>026</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thanh toán điện tử):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nhà quản trị cấp cao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số nguyên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Kiểm soát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hiệu ứng cố định quốc gia × năm</w:t>
            </w:r>
          </w:p>
        </w:tc>
        <w:tc>
          <w:tcPr/>
          <w:p>
            <w:pPr>
              <w:pStyle w:val="Compact"/>
              <w:jc w:val="left"/>
            </w:pPr>
            <w:r>
              <w:t xml:space="preserve">Hiệu ứng cố định</w:t>
            </w:r>
          </w:p>
        </w:tc>
      </w:tr>
    </w:tbl>
    <w:p>
      <w:pPr>
        <w:pStyle w:val="BodyText"/>
      </w:pPr>
      <w:r>
        <w:rPr>
          <w:iCs/>
          <w:i/>
        </w:rPr>
        <w:t xml:space="preserve">Ghi chú: Mẫu phân tích giảm dần từ N = 82.302 (M2), 36.772 (M3, thêm kiểm soát), 28.500 (M11, thêm nhà quản trị + ICRV + tương tác ba chiều). DAI phân tích đa quốc gia là Tier 1+2 khi k33 có mặt, chỉ Tier-1 khi thiếu, khác với phân tích Việt Nam (chỉ Tier-1) và đồng nhất với phân tích Singapore (Tier-1+2). ICRV là biến điều tiết liên tục (số nguyên), không phải biến giả, nhằm giữ N đủ lớn trong M10-M11.</w:t>
      </w:r>
    </w:p>
    <w:p>
      <w:r>
        <w:pict>
          <v:rect style="width:0;height:1.5pt" o:hralign="center" o:hrstd="t" o:hr="t"/>
        </w:pict>
      </w:r>
    </w:p>
    <w:bookmarkEnd w:id="47"/>
    <w:bookmarkStart w:id="48" w:name="X86c32e628f75359e777376950436514c3a68c92"/>
    <w:p>
      <w:pPr>
        <w:pStyle w:val="Heading3"/>
      </w:pPr>
      <w:r>
        <w:t xml:space="preserve">3.4.5.5 Mô hình cụ thể, Nghiên cứu 8: Quốc đảo nhỏ Thái Bình Dương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quốc đảo nhỏ Thái Bình Dương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phân tích Việt Nam-phân tích đa quốc gia.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nhị phân):</w:t>
            </w:r>
            <w:r>
              <w:t xml:space="preserve"> </w:t>
            </w:r>
            <w:r>
              <w:rPr>
                <w:bCs/>
                <w:b/>
              </w:rPr>
              <w:t xml:space="preserve">chỉ Tier-1, không phải năng lực số động</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Hiệu ứng cố định quốc gia</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Hiệu ứng cố định sóng</w:t>
            </w:r>
          </w:p>
        </w:tc>
        <w:tc>
          <w:tcPr/>
          <w:p>
            <w:pPr>
              <w:pStyle w:val="Compact"/>
              <w:jc w:val="left"/>
            </w:pPr>
            <w:r>
              <w:t xml:space="preserve">wave</w:t>
            </w:r>
          </w:p>
        </w:tc>
        <w:tc>
          <w:tcPr/>
          <w:p>
            <w:pPr>
              <w:pStyle w:val="Compact"/>
              <w:jc w:val="left"/>
            </w:pPr>
            <w:r>
              <w:t xml:space="preserve">biến giả theo sóng điều tra</w:t>
            </w:r>
          </w:p>
        </w:tc>
      </w:tr>
    </w:tbl>
    <w:p>
      <w:pPr>
        <w:pStyle w:val="BodyText"/>
      </w:pPr>
      <w:r>
        <w:rPr>
          <w:iCs/>
          <w:i/>
        </w:rPr>
        <w:t xml:space="preserve">Ghi chú: CSS_z (DAI) là proxy tĩnh Tier-1 (website nhị phân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(SIDS):</w:t>
      </w:r>
    </w:p>
    <w:p>
      <w:pPr>
        <w:pStyle w:val="BodyText"/>
      </w:pPr>
      <w:r>
        <w:t xml:space="preserve">M0, Cơ sở (biến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hiệu ứng cố định quốc gia+năm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Chỉ hiệu ứng cố định năm (không hiệu ứng cố định quốc gia)</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Hai biến (không biến kiểm soát)</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Chỉ doanh nghiệp xuất khẩu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đặc tả xác nhận FIP không phải do thiên lệch chọn mẫu hay giá trị ngoại lai.</w:t>
      </w:r>
    </w:p>
    <w:p>
      <w:pPr>
        <w:pStyle w:val="BodyText"/>
      </w:pPr>
      <w:r>
        <w:rPr>
          <w:bCs/>
          <w:b/>
        </w:rPr>
        <w:t xml:space="preserve">Bảng định nghĩa biến, Nghiên cứu 8 (quốc đảo nhỏ Thái Bình Dương)</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nhị phân): chỉ Tier-1</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Kiểm soát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Kiểm soát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Kiểm soát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hiệu ứng cố định quốc gia</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hiệu ứng cố định sóng</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sai số chuẩn vững HC1/HC3 (Long &amp; Ervin, 2000; White, 1980) để xử lý phương sai sai số thay đổi. Đối với mẫu đa quốc gia, bổ sung sai số chuẩn gom cụm theo quốc gia.</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tăng trưởng doanh thu, tăng trưởng lao động.</w:t>
      </w:r>
    </w:p>
    <w:p>
      <w:pPr>
        <w:numPr>
          <w:ilvl w:val="0"/>
          <w:numId w:val="1007"/>
        </w:numPr>
        <w:pStyle w:val="Compact"/>
      </w:pPr>
      <w:r>
        <w:t xml:space="preserve">Biến độc lập: thay FSTS bằng trạng thái xuất khẩu (nhị phân), số thị trường xuất khẩu.</w:t>
      </w:r>
    </w:p>
    <w:p>
      <w:pPr>
        <w:numPr>
          <w:ilvl w:val="0"/>
          <w:numId w:val="1007"/>
        </w:numPr>
        <w:pStyle w:val="Compact"/>
      </w:pPr>
      <w:r>
        <w:t xml:space="preserve">Biến điều tiết: thay DAI_thin bằng DAI_rich (cho tập con 2024+).</w:t>
      </w:r>
    </w:p>
    <w:bookmarkEnd w:id="51"/>
    <w:bookmarkStart w:id="52" w:name="mẫu-phụ"/>
    <w:p>
      <w:pPr>
        <w:pStyle w:val="Heading3"/>
      </w:pPr>
      <w:r>
        <w:t xml:space="preserve">3.5.2 Mẫu phụ</w:t>
      </w:r>
    </w:p>
    <w:p>
      <w:pPr>
        <w:pStyle w:val="FirstParagraph"/>
      </w:pPr>
      <w:r>
        <w:t xml:space="preserve">Loại trừ doanh nghiệp siêu nhỏ (&lt;5 lao động); chỉ giữ doanh nghiệp nhỏ và vừa; chỉ giữ doanh nghiệp chế tạo; chỉ giữ doanh nghiệp xuất khẩu (FSTS &gt; 0); phân nhóm theo 6 chế độ con ICRV.</w:t>
      </w:r>
    </w:p>
    <w:bookmarkEnd w:id="52"/>
    <w:bookmarkStart w:id="53" w:name="giá-trị-ngoại-lai"/>
    <w:p>
      <w:pPr>
        <w:pStyle w:val="Heading3"/>
      </w:pPr>
      <w:r>
        <w:t xml:space="preserve">3.5.3 Giá trị ngoại lai</w:t>
      </w:r>
    </w:p>
    <w:p>
      <w:pPr>
        <w:pStyle w:val="FirstParagraph"/>
      </w:pPr>
      <w:r>
        <w:t xml:space="preserve">Winsor hóa 1% và 5% đối với năng suất lao động và số lao động, áp dụng trong từng quốc gia–năm.</w:t>
      </w:r>
    </w:p>
    <w:bookmarkEnd w:id="53"/>
    <w:bookmarkStart w:id="54" w:name="X400e0fe427e9f70ef210c661bf4ce66446e4657"/>
    <w:p>
      <w:pPr>
        <w:pStyle w:val="Heading3"/>
      </w:pPr>
      <w:r>
        <w:t xml:space="preserve">3.5.4 Đa cộng tuyến và phương sai sai số thay đổi</w:t>
      </w:r>
    </w:p>
    <w:p>
      <w:pPr>
        <w:numPr>
          <w:ilvl w:val="0"/>
          <w:numId w:val="1008"/>
        </w:numPr>
        <w:pStyle w:val="Compact"/>
      </w:pPr>
      <w:r>
        <w:t xml:space="preserve">VIF cho tất cả mô hình; ngưỡng VIF &lt; 5 (Hair et al., 2019).</w:t>
      </w:r>
    </w:p>
    <w:p>
      <w:pPr>
        <w:numPr>
          <w:ilvl w:val="0"/>
          <w:numId w:val="1008"/>
        </w:numPr>
        <w:pStyle w:val="Compact"/>
      </w:pPr>
      <w:r>
        <w:t xml:space="preserve">Kiểm định Breusch-Pagan (Breusch &amp; Pagan, 1979).</w:t>
      </w:r>
    </w:p>
    <w:bookmarkEnd w:id="54"/>
    <w:bookmarkStart w:id="55" w:name="phân-tích-độ-nhạy-cho-phân-tích-tổng-hợp"/>
    <w:p>
      <w:pPr>
        <w:pStyle w:val="Heading3"/>
      </w:pPr>
      <w:r>
        <w:t xml:space="preserve">3.5.5 Phân tích độ nhạy cho phân tích tổng hợp</w:t>
      </w:r>
    </w:p>
    <w:p>
      <w:pPr>
        <w:numPr>
          <w:ilvl w:val="0"/>
          <w:numId w:val="1009"/>
        </w:numPr>
        <w:pStyle w:val="Compact"/>
      </w:pPr>
      <w:r>
        <w:t xml:space="preserve">Bỏ-một (leave-one-out): loại từng nghiên cứu và tái tính hiệu ứng gộp.</w:t>
      </w:r>
    </w:p>
    <w:p>
      <w:pPr>
        <w:numPr>
          <w:ilvl w:val="0"/>
          <w:numId w:val="1009"/>
        </w:numPr>
        <w:pStyle w:val="Compact"/>
      </w:pPr>
      <w:r>
        <w:t xml:space="preserve">Trim-and-fill (Duval &amp; Tweedie, 2000) cho thiên lệch công bố.</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kết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nền kinh tế châu Á và Thái Bình Dương</w:t>
            </w:r>
            <w:r>
              <w:t xml:space="preserve"> </w:t>
            </w:r>
            <w:r>
              <w:t xml:space="preserve">trong một luận án</w:t>
            </w:r>
          </w:p>
        </w:tc>
      </w:tr>
      <w:tr>
        <w:tc>
          <w:tcPr/>
          <w:p>
            <w:pPr>
              <w:pStyle w:val="Compact"/>
              <w:jc w:val="left"/>
            </w:pPr>
            <w:r>
              <w:t xml:space="preserve">Phân tích tổng hợp 1982-2026</w:t>
            </w:r>
          </w:p>
        </w:tc>
        <w:tc>
          <w:tcPr/>
          <w:p>
            <w:pPr>
              <w:pStyle w:val="Compact"/>
              <w:jc w:val="left"/>
            </w:pPr>
            <w:r>
              <w:t xml:space="preserve">Bausch &amp; Krist (2007); Kirca et al. (2012); Marano et al. (2016)</w:t>
            </w:r>
          </w:p>
        </w:tc>
        <w:tc>
          <w:tcPr/>
          <w:p>
            <w:pPr>
              <w:pStyle w:val="Compact"/>
              <w:jc w:val="left"/>
            </w:pPr>
            <w:r>
              <w:t xml:space="preserve">Mở rộng phạm vi, bổ sung biến điều tiết số hóa và 6 chế độ con ICRV</w:t>
            </w:r>
          </w:p>
        </w:tc>
      </w:tr>
      <w:tr>
        <w:tc>
          <w:tcPr/>
          <w:p>
            <w:pPr>
              <w:pStyle w:val="Compact"/>
              <w:jc w:val="left"/>
            </w:pPr>
            <w:r>
              <w:t xml:space="preserve">Mẫu gộp thực nghiệm</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Biến phụ thuộc năng suất lao động</w:t>
            </w:r>
          </w:p>
        </w:tc>
        <w:tc>
          <w:tcPr/>
          <w:p>
            <w:pPr>
              <w:pStyle w:val="Compact"/>
              <w:jc w:val="left"/>
            </w:pPr>
            <w:r>
              <w:t xml:space="preserve">Bloom et al. (2012); Hsieh &amp; Klenow (2009); Do &amp; Phan (2026a)</w:t>
            </w:r>
          </w:p>
        </w:tc>
        <w:tc>
          <w:tcPr/>
          <w:p>
            <w:pPr>
              <w:pStyle w:val="Compact"/>
              <w:jc w:val="left"/>
            </w:pPr>
            <w:r>
              <w:t xml:space="preserve">Lập luận rõ về hiệu quả hoạt động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(2026b)</w:t>
            </w:r>
          </w:p>
        </w:tc>
        <w:tc>
          <w:tcPr/>
          <w:p>
            <w:pPr>
              <w:pStyle w:val="Compact"/>
              <w:jc w:val="left"/>
            </w:pPr>
            <w:r>
              <w:t xml:space="preserve">Đưa vào cùng khung điều tiết ba chiều</w:t>
            </w:r>
          </w:p>
        </w:tc>
      </w:tr>
      <w:tr>
        <w:tc>
          <w:tcPr/>
          <w:p>
            <w:pPr>
              <w:pStyle w:val="Compact"/>
              <w:jc w:val="left"/>
            </w:pPr>
            <w:r>
              <w:t xml:space="preserve">TCI và DAI</w:t>
            </w:r>
          </w:p>
        </w:tc>
        <w:tc>
          <w:tcPr/>
          <w:p>
            <w:pPr>
              <w:pStyle w:val="Compact"/>
              <w:jc w:val="left"/>
            </w:pPr>
            <w:r>
              <w:t xml:space="preserve">Bhandari et al. (2023); Verhoef et al. (2021)</w:t>
            </w:r>
          </w:p>
        </w:tc>
        <w:tc>
          <w:tcPr/>
          <w:p>
            <w:pPr>
              <w:pStyle w:val="Compact"/>
              <w:jc w:val="left"/>
            </w:pPr>
            <w:r>
              <w:t xml:space="preserve">Quy trình bảo đảm tính thuần nhất khái niệm không chồng lấn cho WBES; thay thế số cho thể chế mở rộng (Do &amp; Phan, 2026a)</w:t>
            </w:r>
          </w:p>
        </w:tc>
      </w:tr>
      <w:tr>
        <w:tc>
          <w:tcPr/>
          <w:p>
            <w:pPr>
              <w:pStyle w:val="Compact"/>
              <w:jc w:val="left"/>
            </w:pPr>
            <w:r>
              <w:t xml:space="preserve">Kiểm định U Lind-Mehlum</w:t>
            </w:r>
          </w:p>
        </w:tc>
        <w:tc>
          <w:tcPr/>
          <w:p>
            <w:pPr>
              <w:pStyle w:val="Compact"/>
              <w:jc w:val="left"/>
            </w:pPr>
            <w:r>
              <w:t xml:space="preserve">Lind &amp; Mehlum (2010); Haans et al. (2016)</w:t>
            </w:r>
          </w:p>
        </w:tc>
        <w:tc>
          <w:tcPr/>
          <w:p>
            <w:pPr>
              <w:pStyle w:val="Compact"/>
              <w:jc w:val="left"/>
            </w:pPr>
            <w:r>
              <w:t xml:space="preserve">Áp dụng cho từng mẫu quốc gia và đa quốc gia</w:t>
            </w:r>
          </w:p>
        </w:tc>
      </w:tr>
      <w:tr>
        <w:tc>
          <w:tcPr/>
          <w:p>
            <w:pPr>
              <w:pStyle w:val="Compact"/>
              <w:jc w:val="left"/>
            </w:pPr>
            <w:r>
              <w:t xml:space="preserve">Điều tiết trọng tâm số hóa × thể chế</w:t>
            </w:r>
          </w:p>
        </w:tc>
        <w:tc>
          <w:tcPr/>
          <w:p>
            <w:pPr>
              <w:pStyle w:val="Compact"/>
              <w:jc w:val="left"/>
            </w:pPr>
            <w:r>
              <w:t xml:space="preserve">Aiken &amp; West (1991); Dawson (2014)</w:t>
            </w:r>
          </w:p>
        </w:tc>
        <w:tc>
          <w:tcPr/>
          <w:p>
            <w:pPr>
              <w:pStyle w:val="Compact"/>
              <w:jc w:val="left"/>
            </w:pPr>
            <w:r>
              <w:t xml:space="preserve">DAI × ICRV, mới cho châu Á và Thái Bình Dương; đặc điểm nhà quản trị giữ vai trò kiểm soát quản trị nội sinh</w:t>
            </w:r>
          </w:p>
        </w:tc>
      </w:tr>
      <w:tr>
        <w:tc>
          <w:tcPr/>
          <w:p>
            <w:pPr>
              <w:pStyle w:val="Compact"/>
              <w:jc w:val="left"/>
            </w:pPr>
            <w:r>
              <w:t xml:space="preserve">Tính không đồng nhất theo thời gian</w:t>
            </w:r>
          </w:p>
        </w:tc>
        <w:tc>
          <w:tcPr/>
          <w:p>
            <w:pPr>
              <w:pStyle w:val="Compact"/>
              <w:jc w:val="left"/>
            </w:pPr>
            <w:r>
              <w:t xml:space="preserve">Wu et al. (2022); Xiao et al. (2013); Do &amp; Phan (2026b)</w:t>
            </w:r>
          </w:p>
        </w:tc>
        <w:tc>
          <w:tcPr/>
          <w:p>
            <w:pPr>
              <w:pStyle w:val="Compact"/>
              <w:jc w:val="left"/>
            </w:pPr>
            <w:r>
              <w:t xml:space="preserve">Kiểm định ổn định Trung Quốc 2012-2024 (điểm uốn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Thiên lệch công bố</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Ngân hàng Thế giới cung cấp miễn phí cho mục đích nghiên cứu (World Bank, n.d.). Tất cả các trích dẫn theo chuẩn APA 7th để ghi nhận đầy đủ công sức của các tác giả trước, tránh đạo văn. Mã nguồn và dữ liệu phân tích được lưu trữ trên các nhánh chuyên biệt của kho lưu trữ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2026-05-28T17:30:22Z</dcterms:created>
  <dcterms:modified xsi:type="dcterms:W3CDTF">2026-05-28T17:30:22Z</dcterms:modified>
</cp:coreProperties>
</file>

<file path=docProps/custom.xml><?xml version="1.0" encoding="utf-8"?>
<Properties xmlns="http://schemas.openxmlformats.org/officeDocument/2006/custom-properties" xmlns:vt="http://schemas.openxmlformats.org/officeDocument/2006/docPropsVTypes"/>
</file>