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5-kết-luận-và-đề-xuất"/>
    <w:p>
      <w:pPr>
        <w:pStyle w:val="Heading1"/>
      </w:pPr>
      <w:r>
        <w:t xml:space="preserve">CHƯƠNG 5: KẾT LUẬN VÀ ĐỀ XUẤT</w:t>
      </w:r>
    </w:p>
    <w:bookmarkEnd w:id="20"/>
    <w:p>
      <w:r>
        <w:pict>
          <v:rect style="width:0;height:1.5pt" o:hralign="center" o:hrstd="t" o:hr="t"/>
        </w:pict>
      </w:r>
    </w:p>
    <w:bookmarkStart w:id="21" w:name="giới-thiệu-chương"/>
    <w:p>
      <w:pPr>
        <w:pStyle w:val="Heading2"/>
      </w:pPr>
      <w:r>
        <w:t xml:space="preserve">Giới thiệu chương</w:t>
      </w:r>
    </w:p>
    <w:p>
      <w:pPr>
        <w:pStyle w:val="FirstParagraph"/>
      </w:pPr>
      <w:r>
        <w:t xml:space="preserve">Chương 5 tổng hợp và diễn giải kết quả từ Chương 4 dưới ánh sáng của khung lý thuyết CDCM cùng bốn lý thuyết nền là Uppsala, RBV, lý thuyết thể chế và lý thuyết thượng tầng quản trị. Chương gồm sáu phần: bàn luận kết quả theo khung lý thuyết; so sánh với nghiên cứu trước; đóng góp lý thuyết; đề xuất chính sách và quản trị; hạn chế cùng hướng nghiên cứu tương lai; và kết luận tổng thể của luận án.</w:t>
      </w:r>
    </w:p>
    <w:p>
      <w:r>
        <w:pict>
          <v:rect style="width:0;height:1.5pt" o:hralign="center" o:hrstd="t" o:hr="t"/>
        </w:pict>
      </w:r>
    </w:p>
    <w:bookmarkEnd w:id="21"/>
    <w:bookmarkStart w:id="27" w:name="Xff8cef3ed320f9cf6f3fba4ff558bfed3af19c6"/>
    <w:p>
      <w:pPr>
        <w:pStyle w:val="Heading2"/>
      </w:pPr>
      <w:r>
        <w:t xml:space="preserve">5.1 Bàn luận kết quả theo khung lý thuyết CDCM</w:t>
      </w:r>
    </w:p>
    <w:bookmarkStart w:id="22" w:name="X15bf1096964ce027ae5f38ba61f44ecafa6a90e"/>
    <w:p>
      <w:pPr>
        <w:pStyle w:val="Heading3"/>
      </w:pPr>
      <w:r>
        <w:t xml:space="preserve">5.1.1 Dải biến thiên ICRV,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dải biến thiên ICRV (Institutional Context Regime Variation, biến thiên chế độ bối cảnh thể chế)</w:t>
      </w:r>
      <w:r>
        <w:t xml:space="preserve">: cùng một mức độ quốc tế hóa (FSTS) lại mang lại hiệu quả rất khác nhau, tùy vào chế độ thể chế mà doanh nghiệp hoạt động. Hai nguồn bằng chứng bổ sung cho nhau cùng chỉ về vai trò quyết định của chế độ thể chế, song ở hai cấp độ khác nhau. Ở cấp tổng hợp, phân tích tổng hợp xác nhận chế độ thể chế là yếu tố điều tiết có ý nghĩa của quan hệ gộp I-P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tức các chế độ</w:t>
      </w:r>
      <w:r>
        <w:t xml:space="preserve"> </w:t>
      </w:r>
      <w:r>
        <w:rPr>
          <w:bCs/>
          <w:b/>
        </w:rPr>
        <w:t xml:space="preserve">khác biệt</w:t>
      </w:r>
      <w:r>
        <w:t xml:space="preserve"> </w:t>
      </w:r>
      <w:r>
        <w:t xml:space="preserve">nhau; bản thân kiểm định này chưa xác lập một dải biến thiên đơn điệu theo chất lượng thể chế, và thực ra</w:t>
      </w:r>
      <w:r>
        <w:t xml:space="preserve"> </w:t>
      </w:r>
      <w:r>
        <w:rPr>
          <w:bCs/>
          <w:b/>
        </w:rPr>
        <w:t xml:space="preserve">không bền vững</w:t>
      </w:r>
      <w:r>
        <w:t xml:space="preserve">: ý nghĩa</w:t>
      </w:r>
      <w:r>
        <w:t xml:space="preserve"> </w:t>
      </w:r>
      <m:oMath>
        <m:sSub>
          <m:e>
            <m:r>
              <m:t>Q</m:t>
            </m:r>
          </m:e>
          <m:sub>
            <m:r>
              <m:t>M</m:t>
            </m:r>
          </m:sub>
        </m:sSub>
      </m:oMath>
      <w:r>
        <w:t xml:space="preserve"> </w:t>
      </w:r>
      <w:r>
        <w:t xml:space="preserve">gần như hoàn toàn do ô Frontier mỏng (k = 3) tạo ra, bỏ ô này thì omnibus về không có ý nghĩa (</w:t>
      </w:r>
      <m:oMath>
        <m:sSub>
          <m:e>
            <m:r>
              <m:t>Q</m:t>
            </m:r>
          </m:e>
          <m:sub>
            <m:r>
              <m:t>M</m:t>
            </m:r>
          </m:sub>
        </m:sSub>
        <m:r>
          <m:rPr>
            <m:sty m:val="p"/>
          </m:rPr>
          <m:t>=</m:t>
        </m:r>
        <m:r>
          <m:t>1</m:t>
        </m:r>
        <m:r>
          <m:rPr>
            <m:sty m:val="p"/>
          </m:rPr>
          <m:t>,</m:t>
        </m:r>
        <m:r>
          <m:t>49</m:t>
        </m:r>
      </m:oMath>
      <w:r>
        <w:t xml:space="preserve">,</w:t>
      </w:r>
      <w:r>
        <w:t xml:space="preserve"> </w:t>
      </w:r>
      <m:oMath>
        <m:r>
          <m:t>d</m:t>
        </m:r>
        <m:r>
          <m:t>f</m:t>
        </m:r>
        <m:r>
          <m:rPr>
            <m:sty m:val="p"/>
          </m:rPr>
          <m:t>=</m:t>
        </m:r>
        <m:r>
          <m:t>3</m:t>
        </m:r>
      </m:oMath>
      <w:r>
        <w:t xml:space="preserve">,</w:t>
      </w:r>
      <w:r>
        <w:t xml:space="preserve"> </w:t>
      </w:r>
      <m:oMath>
        <m:r>
          <m:t>p</m:t>
        </m:r>
        <m:r>
          <m:rPr>
            <m:sty m:val="p"/>
          </m:rPr>
          <m:t>=</m:t>
        </m:r>
        <m:r>
          <m:rPr>
            <m:sty m:val="p"/>
          </m:rPr>
          <m:t>,</m:t>
        </m:r>
        <m:r>
          <m:t>68</m:t>
        </m:r>
      </m:oMath>
      <w:r>
        <w:t xml:space="preserve">). Hình dạng cụ thể của dải biến thiên được xác lập độc lập bằng dữ liệu sơ cấp toàn mẫu (phân tích đa quốc gia,</w:t>
      </w:r>
      <w:r>
        <w:t xml:space="preserve"> </w:t>
      </w:r>
      <m:oMath>
        <m:r>
          <m:t>N</m:t>
        </m:r>
        <m:r>
          <m:rPr>
            <m:sty m:val="p"/>
          </m:rPr>
          <m:t>=</m:t>
        </m:r>
        <m:r>
          <m:t>82.302</m:t>
        </m:r>
      </m:oMath>
      <w:r>
        <w:t xml:space="preserve"> </w:t>
      </w:r>
      <w:r>
        <w:t xml:space="preserve">quan sát từ 45 nền kinh tế): độ cong (concavity) của quan hệ I-P</w:t>
      </w:r>
      <w:r>
        <w:t xml:space="preserve"> </w:t>
      </w:r>
      <w:r>
        <w:rPr>
          <w:bCs/>
          <w:b/>
        </w:rPr>
        <w:t xml:space="preserve">sâu dần</w:t>
      </w:r>
      <w:r>
        <w:t xml:space="preserve"> </w:t>
      </w:r>
      <w:r>
        <w:t xml:space="preserve">khi chất lượng thể chế suy giảm, phẳng, gần như tuyến tính ở nhóm tiên tiến và rõ nét nhất (hình chữ U ngược) ở nhóm đảo nhỏ và cận biên, với điểm uốn dao động quanh ~40% thay vì dịch chuyển đơn điệu. Nói cách khác, ở các nền kinh tế thể chế mạnh, quan hệ I–P gần như tuyến tính trong khoảng quan sát và doanh nghiệp ít chịu hình phạt suy giảm khi quốc tế hóa sâu; còn ở các nền kinh tế thể chế yếu, hình chữ U ngược biểu hiện rõ nét, phản ánh chi phí phối hợp và lợi suất giảm dần gay gắt hơn khi đẩy mạnh xuất khẩu.</w:t>
      </w:r>
    </w:p>
    <w:p>
      <w:pPr>
        <w:pStyle w:val="BodyText"/>
      </w:pPr>
      <w:r>
        <w:t xml:space="preserve">Kết quả này xác nhận H5 và tầng thể chế của khung CDCM một cách thuyết phục: điều kiện biên cho quan hệ I-P không do một yếu tố điều tiết đơn lẻ quy định, mà do</w:t>
      </w:r>
      <w:r>
        <w:t xml:space="preserve"> </w:t>
      </w:r>
      <w:r>
        <w:rPr>
          <w:bCs/>
          <w:b/>
        </w:rPr>
        <w:t xml:space="preserve">cả một chế độ thể chế</w:t>
      </w:r>
      <w:r>
        <w:t xml:space="preserve">, được vận hành hóa thành sáu nhóm con ICRV. Hiểu theo cơ chế, ICRV vận hành như một</w:t>
      </w:r>
      <w:r>
        <w:t xml:space="preserve"> </w:t>
      </w:r>
      <w:r>
        <w:rPr>
          <w:bCs/>
          <w:b/>
        </w:rPr>
        <w:t xml:space="preserve">bộ lọc chi phí giao dịch (transaction cost filter)</w:t>
      </w:r>
      <w:r>
        <w:t xml:space="preserve"> </w:t>
      </w:r>
      <w:r>
        <w:t xml:space="preserve">và sáu chế độ hợp thành một</w:t>
      </w:r>
      <w:r>
        <w:t xml:space="preserve"> </w:t>
      </w:r>
      <w:r>
        <w:rPr>
          <w:bCs/>
          <w:b/>
        </w:rPr>
        <w:t xml:space="preserve">bản đồ địa hình xuất khẩu chiến lược (strategic export topography)</w:t>
      </w:r>
      <w:r>
        <w:t xml:space="preserve">: chính chất lượng thể chế quy định nơi điểm uốn của quan hệ I-P xuất hiện, còn năng lực số đóng vai trò lá chắn bù đắp khi bộ lọc tắc nghẽn. Lý thuyết thể chế của North (1990) cùng Khanna và Palepu (2010) dự đoán rằng thể chế định hình chi phí giao dịch và cấu trúc khuyến khích; dải biến thiên ICRV chính là biểu hiện thực nghiệm của cơ chế đó, ở quy mô 45 nền kinh tế châu Á và Thái Bình Dương (phân tích đa quốc gia 45 nền kinh tế).</w:t>
      </w:r>
    </w:p>
    <w:p>
      <w:pPr>
        <w:pStyle w:val="BodyText"/>
      </w:pPr>
      <w:r>
        <w:t xml:space="preserve">Về mặt lý thuyết, có thể hiểu dải biến thiên ICRV qua hai cơ chế bổ sung cho nhau. Cơ chế đầu tiên là giảm chi phí giao dịch: thể chế chất lượng cao, với hệ thống pháp lý vững, bảo vệ quyền sở hữu trí tuệ và thực thi hợp đồng nghiêm, làm giảm chi phí xuyên biên giới, nhờ đó doanh nghiệp duy trì được đà tăng trưởng hiệu quả đến mức FSTS cao hơn. Cơ chế còn lại là khuếch đại năng lực: môi trường thể chế tốt cũng đi kèm một hệ sinh thái dịch vụ hỗ trợ phát triển, gồm hậu cần, tài chính thương mại, tư vấn pháp lý quốc tế, làm nhẹ bớt gánh nặng điều phối nội bộ khi doanh nghiệp mở rộng ra quốc tế.</w:t>
      </w:r>
    </w:p>
    <w:bookmarkEnd w:id="22"/>
    <w:bookmarkStart w:id="23" w:name="tci-là-năng-lực-nền-tảng-xác-nhận-h2"/>
    <w:p>
      <w:pPr>
        <w:pStyle w:val="Heading3"/>
      </w:pPr>
      <w:r>
        <w:t xml:space="preserve">5.1.2 TCI là năng lực nền tảng, xác nhận H2</w:t>
      </w:r>
    </w:p>
    <w:p>
      <w:pPr>
        <w:pStyle w:val="FirstParagraph"/>
      </w:pPr>
      <w:r>
        <w:t xml:space="preserve">Chỉ số năng lực công nghệ (TCI) nhất quán cho thấy</w:t>
      </w:r>
      <w:r>
        <w:t xml:space="preserve"> </w:t>
      </w:r>
      <w:r>
        <w:rPr>
          <w:bCs/>
          <w:b/>
        </w:rPr>
        <w:t xml:space="preserve">hiệu ứng nâng mặt bằng năng suất dương</w:t>
      </w:r>
      <w:r>
        <w:t xml:space="preserve"> </w:t>
      </w:r>
      <w:r>
        <w:t xml:space="preserve">ở mọi mẫu, từ Việt Nam (Việt Nam) và Trung Quốc (Trung Quốc) đến toàn mẫu (phân tích đa quốc gia 45 nền kinh tế), với mỗi đơn vị độ lệch chuẩn TCI gắn với mức tăng năng suất khoảng 41%. Tuy nhiên, TCI chỉ</w:t>
      </w:r>
      <w:r>
        <w:t xml:space="preserve"> </w:t>
      </w:r>
      <w:r>
        <w:rPr>
          <w:bCs/>
          <w:b/>
        </w:rPr>
        <w:t xml:space="preserve">uốn được hình dạng đường cong I-P</w:t>
      </w:r>
      <w:r>
        <w:t xml:space="preserve"> </w:t>
      </w:r>
      <w:r>
        <w:t xml:space="preserve">trong một bối cảnh quốc gia cụ thể là Việt Nam (Việt Nam), nơi môi trường chuyển đổi và sự phân mảnh thể chế tạo điều kiện cho TCI tái định hình hiệu ứng. Vai trò này không phổ quát trên toàn mẫu 45 nền kinh tế: ở phân tích đa quốc gia, cả tương tác FSTS×TCI lẫn</w:t>
      </w:r>
      <w:r>
        <w:t xml:space="preserve"> </w:t>
      </w:r>
      <m:oMath>
        <m:sSup>
          <m:e>
            <m:r>
              <m:rPr>
                <m:nor/>
                <m:sty m:val="p"/>
              </m:rPr>
              <m:t>FSTS</m:t>
            </m:r>
          </m:e>
          <m:sup>
            <m:r>
              <m:t>2</m:t>
            </m:r>
          </m:sup>
        </m:sSup>
      </m:oMath>
      <w:r>
        <w:t xml:space="preserve">×TCI đều không có ý nghĩa thống kê. Do đó H2 chỉ được</w:t>
      </w:r>
      <w:r>
        <w:t xml:space="preserve"> </w:t>
      </w:r>
      <w:r>
        <w:rPr>
          <w:bCs/>
          <w:b/>
        </w:rPr>
        <w:t xml:space="preserve">xác nhận một phần</w:t>
      </w:r>
      <w:r>
        <w:t xml:space="preserve">: TCI là năng lực nền tảng phổ quát, nhưng vai trò uốn đường cong I-P lại phụ thuộc bối cảnh thể chế. Kết quả này khẳng định TCI là</w:t>
      </w:r>
      <w:r>
        <w:t xml:space="preserve"> </w:t>
      </w:r>
      <w:r>
        <w:rPr>
          <w:bCs/>
          <w:b/>
        </w:rPr>
        <w:t xml:space="preserve">năng lực nền tảng</w:t>
      </w:r>
      <w:r>
        <w:t xml:space="preserve"> </w:t>
      </w:r>
      <w:r>
        <w:t xml:space="preserve">trong khung CDCM: doanh nghiệp có năng lực công nghệ sâu hơn, đo bằng khả năng tiếp cận công nghệ nước ngoài, chi tiêu nghiên cứu và phát triển, đổi mới sản phẩm và chứng nhận chất lượng, sẽ tạo ra giá trị cao hơn từ cùng một mức độ quốc tế hóa.</w:t>
      </w:r>
    </w:p>
    <w:p>
      <w:pPr>
        <w:pStyle w:val="BodyText"/>
      </w:pPr>
      <w:r>
        <w:t xml:space="preserve">Cơ chế lý thuyết đằng sau kết quả này bắt nguồn từ lý thuyết dựa trên nguồn lực (Barney, 1991): TCI là nguồn lực VRIN, có giá trị, hiếm, khó sao chép và khó thay thế, nên tạo ra lợi thế cạnh tranh bền vững ngay cả khi doanh nghiệp mở rộng ra thị trường nước ngoài đầy bất định. Năng lực công nghệ cũng làm nên năng lực hấp thụ (Cohen &amp; Levinthal, 1990), tức khả năng tiếp nhận và tích hợp tri thức từ thị trường nước ngoài, giúp doanh nghiệp học hỏi hiệu quả hơn khi quốc tế hóa, đúng với vòng lặp học hỏi của mô hình Uppsala (Johanson &amp; Vahlne, 1977).</w:t>
      </w:r>
    </w:p>
    <w:bookmarkEnd w:id="23"/>
    <w:bookmarkStart w:id="24" w:name="X27755afda27725d75d6cee82c01fb99e8279a05"/>
    <w:p>
      <w:pPr>
        <w:pStyle w:val="Heading3"/>
      </w:pPr>
      <w:r>
        <w:t xml:space="preserve">5.1.3 DAI là nguồn lực tình huống, hỗ trợ một phần H3</w:t>
      </w:r>
    </w:p>
    <w:p>
      <w:pPr>
        <w:pStyle w:val="FirstParagraph"/>
      </w:pPr>
      <w:r>
        <w:t xml:space="preserve">Kết quả về chỉ số chấp nhận số (DAI) phức tạp và nhiều sắc thái hơn TCI. Trên toàn mẫu đa quốc gia gồm 45 nền kinh tế, DAI có hiệu ứng nâng mặt bằng năng suất dương và có ý nghĩa (</w:t>
      </w:r>
      <m:oMath>
        <m:acc>
          <m:accPr>
            <m:chr m:val="̂"/>
          </m:accPr>
          <m:e>
            <m:r>
              <m:t>β</m:t>
            </m:r>
          </m:e>
        </m:acc>
        <m:r>
          <m:rPr>
            <m:sty m:val="p"/>
          </m:rPr>
          <m:t>=</m:t>
        </m:r>
        <m:r>
          <m:rPr>
            <m:sty m:val="p"/>
          </m:rPr>
          <m:t>+</m:t>
        </m:r>
        <m:r>
          <m:t>0</m:t>
        </m:r>
        <m:r>
          <m:rPr>
            <m:sty m:val="p"/>
          </m:rPr>
          <m:t>,</m:t>
        </m:r>
        <m:r>
          <m:t>172</m:t>
        </m:r>
      </m:oMath>
      <w:r>
        <w:t xml:space="preserve">,</w:t>
      </w:r>
      <w:r>
        <w:t xml:space="preserve"> </w:t>
      </w:r>
      <m:oMath>
        <m:r>
          <m:t>p</m:t>
        </m:r>
        <m:r>
          <m:rPr>
            <m:sty m:val="p"/>
          </m:rPr>
          <m:t>&lt;</m:t>
        </m:r>
        <m:r>
          <m:rPr>
            <m:sty m:val="p"/>
          </m:rPr>
          <m:t>,</m:t>
        </m:r>
        <m:r>
          <m:t>001</m:t>
        </m:r>
      </m:oMath>
      <w:r>
        <w:t xml:space="preserve">), tương ứng khoảng 19% lợi thế năng suất cho doanh nghiệp có trang web. Đáng chú ý hơn, cả hai tương tác uốn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588</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726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Tương tác DAI×ICRV (</w:t>
      </w:r>
      <m:oMath>
        <m:r>
          <m:t>p</m:t>
        </m:r>
        <m:r>
          <m:rPr>
            <m:sty m:val="p"/>
          </m:rPr>
          <m:t>=</m:t>
        </m:r>
        <m:r>
          <m:rPr>
            <m:sty m:val="p"/>
          </m:rPr>
          <m:t>,</m:t>
        </m:r>
        <m:r>
          <m:t>049</m:t>
        </m:r>
      </m:oMath>
      <w:r>
        <w:t xml:space="preserve">) khẳng định DAI phát huy mạnh hơn ở các bối cảnh thể chế yếu, nhất quán với lập luận CDCM rằng DAI bù đắp cho sự vắng mặt của hạ tầng thể chế ở Nhóm IV-V, chứ không chỉ khuếch đại lợi thế vốn đã có ở Nhóm I. Tại Singapore (phân tích Singapore, DAI Tier-1+2), DAI bộc lộ rõ nhất dưới dạng hiệu ứng khuếch đại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Còn tại Việt Nam (phân tích Việt Nam, chỉ Tier-1, ước lượng bằng biến công cụ), kết quả DAI không có ý nghĩa phản ánh hạn chế đo lường và sai lệch chọn mẫu, chứ không phải sự bác bỏ H3.</w:t>
      </w:r>
    </w:p>
    <w:p>
      <w:pPr>
        <w:pStyle w:val="BodyText"/>
      </w:pPr>
      <w:r>
        <w:t xml:space="preserve">Tổng hợp lại, kết quả ủng hộ lập luận trong khung CDCM rằng DAI là</w:t>
      </w:r>
      <w:r>
        <w:t xml:space="preserve"> </w:t>
      </w:r>
      <w:r>
        <w:rPr>
          <w:bCs/>
          <w:b/>
        </w:rPr>
        <w:t xml:space="preserve">nguồn lực tình huống</w:t>
      </w:r>
      <w:r>
        <w:t xml:space="preserve"> </w:t>
      </w:r>
      <w:r>
        <w:t xml:space="preserve">chứ không phải năng lực nền tảng. Cơ chế cụ thể của DAI, nén hay khuếch đại đường cong, tùy thuộc điều kiện môi trường về thể chế và hạ tầng số; nhưng bản thân hiệu ứng DAI lại</w:t>
      </w:r>
      <w:r>
        <w:t xml:space="preserve"> </w:t>
      </w:r>
      <w:r>
        <w:rPr>
          <w:bCs/>
          <w:b/>
        </w:rPr>
        <w:t xml:space="preserve">phổ quát</w:t>
      </w:r>
      <w:r>
        <w:t xml:space="preserve"> </w:t>
      </w:r>
      <w:r>
        <w:t xml:space="preserve">trên toàn mẫu đa bối cảnh. Đây chính là điểm phân biệt quan trọng giữa TCI và DAI trong đóng góp lý thuyết của luận án.</w:t>
      </w:r>
    </w:p>
    <w:p>
      <w:pPr>
        <w:pStyle w:val="BodyText"/>
      </w:pPr>
      <w:r>
        <w:t xml:space="preserve">Cũng cần lưu ý rằng kết quả không có ý nghĩa về DAI tại Việt Nam (Việt Nam) và các bối cảnh thấp hơn không hẳn bác bỏ H3, mà phần nào phản ánh hạn chế đo lường: DAI Tier-1, gồm trang web, thư điện tử, bán hàng trực tuyến, chưa nắm bắt được chiều sâu của năng lực số. Khi DAI được đo bằng Tier-1+2, bổ sung thanh toán điện tử và kết nối nhà cung ứng số như ở Singapore, hiệu ứng điều tiết hiện ra rõ hơn. Quan trọng hơn, mọi thước đo DAI trong luận án đều là</w:t>
      </w:r>
      <w:r>
        <w:t xml:space="preserve"> </w:t>
      </w:r>
      <w:r>
        <w:rPr>
          <w:bCs/>
          <w:b/>
        </w:rPr>
        <w:t xml:space="preserve">chỉ số chấp nhận số tĩnh</w:t>
      </w:r>
      <w:r>
        <w:t xml:space="preserve"> </w:t>
      </w:r>
      <w:r>
        <w:t xml:space="preserve">dựa trên dữ liệu WBES tại một thời điểm, không phải năng lực số động theo nghĩa của lý thuyết năng lực động (Teece et al., 1997), bởi WBES không có đủ thang đo để đo tính động của năng lực số.</w:t>
      </w:r>
    </w:p>
    <w:p>
      <w:pPr>
        <w:pStyle w:val="BodyText"/>
      </w:pPr>
      <w:r>
        <w:t xml:space="preserve">Lý thuyết thể chế gợi thêm một cách giải thích. Ở các bối cảnh ICRV thấp với nhiều khoảng trống thể chế (Khanna &amp; Palepu, 2010), doanh nghiệp xuất khẩu dựa vào DAI nhiều hơn như một cơ chế bù đắp cho hạ tầng thể chế còn thiếu. Bằng chứng nằm ở tương tác DAI×ICRV (p = 0,049) trong phân tích đa quốc gia: DAI</w:t>
      </w:r>
      <w:r>
        <w:t xml:space="preserve"> </w:t>
      </w:r>
      <w:r>
        <w:rPr>
          <w:bCs/>
          <w:b/>
        </w:rPr>
        <w:t xml:space="preserve">mạnh hơn</w:t>
      </w:r>
      <w:r>
        <w:t xml:space="preserve"> </w:t>
      </w:r>
      <w:r>
        <w:t xml:space="preserve">nơi thể chế yếu, tức hiệu ứng thay thế số cho thể chế phát huy mạnh nhất khi nền tảng thể chế còn thiếu hụt, chứ không phải khi thể chế đã hoàn thiện.</w:t>
      </w:r>
    </w:p>
    <w:bookmarkEnd w:id="24"/>
    <w:bookmarkStart w:id="25" w:name="Xece9a1da6f346a507472622c3a51811b77b548d"/>
    <w:p>
      <w:pPr>
        <w:pStyle w:val="Heading3"/>
      </w:pPr>
      <w:r>
        <w:t xml:space="preserve">5.1.4 Đặc điểm nhà quản trị là kiểm soát quản trị nội sinh, hỗ trợ có điều kiện H4</w:t>
      </w:r>
    </w:p>
    <w:p>
      <w:pPr>
        <w:pStyle w:val="FirstParagraph"/>
      </w:pPr>
      <w:r>
        <w:t xml:space="preserve">Kết quả về H4 từ phân tích đa quốc gia cho thấy đặc điểm nhà quản trị cấp cao tác động ở dạng hiệu ứng mức (level effect). Giới tính nữ của nhà quản trị (</w:t>
      </w:r>
      <m:oMath>
        <m:acc>
          <m:accPr>
            <m:chr m:val="̂"/>
          </m:accPr>
          <m:e>
            <m:r>
              <m:t>β</m:t>
            </m:r>
          </m:e>
        </m:acc>
        <m:r>
          <m:rPr>
            <m:sty m:val="p"/>
          </m:rPr>
          <m:t>=</m:t>
        </m:r>
        <m:r>
          <m:rPr>
            <m:sty m:val="p"/>
          </m:rPr>
          <m:t>+</m:t>
        </m:r>
        <m:r>
          <m:t>0</m:t>
        </m:r>
        <m:r>
          <m:rPr>
            <m:sty m:val="p"/>
          </m:rPr>
          <m:t>,</m:t>
        </m:r>
        <m:r>
          <m:t>202</m:t>
        </m:r>
      </m:oMath>
      <w:r>
        <w:t xml:space="preserve">,</w:t>
      </w:r>
      <w:r>
        <w:t xml:space="preserve"> </w:t>
      </w:r>
      <m:oMath>
        <m:r>
          <m:t>p</m:t>
        </m:r>
        <m:r>
          <m:rPr>
            <m:sty m:val="p"/>
          </m:rPr>
          <m:t>&lt;</m:t>
        </m:r>
        <m:r>
          <m:rPr>
            <m:sty m:val="p"/>
          </m:rPr>
          <m:t>,</m:t>
        </m:r>
        <m:r>
          <m:t>001</m:t>
        </m:r>
      </m:oMath>
      <w:r>
        <w:t xml:space="preserve">) nhất quán nâng mặt bằng hiệu quả I-P trong toàn mẫu: doanh nghiệp có nhà quản trị cấp cao là nữ đạt hiệu quả cao hơn từ quốc tế hóa. Điều này phù hợp với lý thuyết thượng tầng quản trị (Hambrick &amp; Mason, 1984), theo đó đặc điểm của cấp lãnh đạo định hình cách tổ chức nhận diện và khai thác cơ hội quốc tế. Tuy vậy, các đặc điểm này được đưa vào khung như khối kiểm soát quản trị nội sinh chứ không phải nhân tố điều tiết trọng tâm định hình độ cong của đường quan hệ I-P.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 ký hiệu H4 được giữ nguyên để tương thích với các bản thảo đồng hành (phân tích Việt Nam, Singapore và Trung Quốc).</w:t>
      </w:r>
    </w:p>
    <w:p>
      <w:pPr>
        <w:pStyle w:val="BodyText"/>
      </w:pPr>
      <w:r>
        <w:t xml:space="preserve">Cơ chế lý thuyết có thể đi qua hai kênh. Một là tính đa dạng nhận thức: nhà quản trị nữ thường mang lại góc nhìn khác biệt khi ra quyết định quốc tế hóa, giúp nhận diện thị trường ngách và giảm rủi ro tập trung. Hai là chuẩn mực quản trị: sự hiện diện của lãnh đạo nữ tương quan với thực hành quản trị tốt hơn và minh bạch hơn, điều đặc biệt quan trọng trong môi trường thể chế yếu. Việc kiểm soát các kênh này khóa chặt thiên lệch nội sinh phát sinh từ năng lực và sự đa dạng giới của nhà quản trị.</w:t>
      </w:r>
    </w:p>
    <w:p>
      <w:pPr>
        <w:pStyle w:val="BodyText"/>
      </w:pPr>
      <w:r>
        <w:t xml:space="preserve">Dù vậy, cần lưu ý rằng hiệu ứng mức này được phát hiện ở cấp gộp toàn mẫu (phân tích đa quốc gia 45 nền kinh tế); việc tách riêng và kiểm định khả năng điều tiết theo từng bối cảnh ICRV thuộc về hướng nghiên cứu tương lai. Kết quả không có ý nghĩa về kinh nghiệm nhà quản trị gợi ý rằng, trong bối cảnh châu Á đa dạng, số năm kinh nghiệm đơn thuần chưa nắm bắt được</w:t>
      </w:r>
      <w:r>
        <w:t xml:space="preserve"> </w:t>
      </w:r>
      <w:r>
        <w:rPr>
          <w:bCs/>
          <w:b/>
        </w:rPr>
        <w:t xml:space="preserve">chất lượng</w:t>
      </w:r>
      <w:r>
        <w:t xml:space="preserve"> </w:t>
      </w:r>
      <w:r>
        <w:t xml:space="preserve">của kinh nghiệm quốc tế, tức bề rộng so với chiều sâu. Đây là một hạn chế đo lường của WBES cần được khắc phục trong nghiên cứu tương lai.</w:t>
      </w:r>
    </w:p>
    <w:bookmarkEnd w:id="25"/>
    <w:bookmarkStart w:id="26" w:name="Xec64c810cb028afb72ecad1fcf3407044422350"/>
    <w:p>
      <w:pPr>
        <w:pStyle w:val="Heading3"/>
      </w:pPr>
      <w:r>
        <w:t xml:space="preserve">5.1.5 FIP là điều kiện biên cực đoan, H1b cho đảo nhỏ Thái Bình Dương</w:t>
      </w:r>
    </w:p>
    <w:p>
      <w:pPr>
        <w:pStyle w:val="FirstParagraph"/>
      </w:pPr>
      <w:r>
        <w:t xml:space="preserve">Gánh nặng quốc tế hóa bắt buộc (Forced Internationalization Penalty, FIP) tại các nền kinh tế đảo nhỏ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và mạnh hơn ở mẫu chỉ gồm doanh nghiệp xuất khẩu) đại diện cho một điều kiện biên mà phiên bản ban đầu của CDCM chưa dự báo hết. FIP là biểu hiện của trường hợp khi</w:t>
      </w:r>
      <w:r>
        <w:t xml:space="preserve"> </w:t>
      </w:r>
      <w:r>
        <w:rPr>
          <w:bCs/>
          <w:b/>
        </w:rPr>
        <w:t xml:space="preserve">cả ba tầng của CDCM</w:t>
      </w:r>
      <w:r>
        <w:t xml:space="preserve">, gồm thể chế, năng lực và quản trị, đều ở mức thấp. Khi thể chế yếu, TCI thấp và DAI không phát huy tác dụng, quốc tế hóa không chỉ ngừng ở chỗ không mang lại lợi ích, mà còn gây tổn hại thực sự đến hiệu quả doanh nghiệp.</w:t>
      </w:r>
    </w:p>
    <w:p>
      <w:pPr>
        <w:pStyle w:val="BodyText"/>
      </w:pPr>
      <w:r>
        <w:t xml:space="preserve">Quan hệ âm đơn điệu này khác về bản chất với quan hệ phi tuyến chữ U ngược: nó không có điểm uốn trong phạm vi dữ liệu, nghĩa là không tồn tại mức FSTS nào để doanh nghiệp đảo nhỏ cải thiện hiệu quả qua xuất khẩu trong điều kiện hiện tại. Đây là một ranh giới biên lý thuyết quan trọng đối với các mô hình phi tuyến phổ quát trong nghiên cứu I-P.</w:t>
      </w:r>
    </w:p>
    <w:p>
      <w:r>
        <w:pict>
          <v:rect style="width:0;height:1.5pt" o:hralign="center" o:hrstd="t" o:hr="t"/>
        </w:pict>
      </w:r>
    </w:p>
    <w:bookmarkEnd w:id="26"/>
    <w:bookmarkEnd w:id="27"/>
    <w:bookmarkStart w:id="31" w:name="so-sánh-với-nghiên-cứu-trước-đây"/>
    <w:p>
      <w:pPr>
        <w:pStyle w:val="Heading2"/>
      </w:pPr>
      <w:r>
        <w:t xml:space="preserve">5.2 So sánh với nghiên cứu trước đây</w:t>
      </w:r>
    </w:p>
    <w:bookmarkStart w:id="28" w:name="nhất-quán-với-nền-tảng-icbef-2024"/>
    <w:p>
      <w:pPr>
        <w:pStyle w:val="Heading3"/>
      </w:pPr>
      <w:r>
        <w:t xml:space="preserve">5.2.1 Nhất quán với nền tảng ICBEF 2024</w:t>
      </w:r>
    </w:p>
    <w:p>
      <w:pPr>
        <w:pStyle w:val="FirstParagraph"/>
      </w:pPr>
      <w:r>
        <w:t xml:space="preserve">Hiệu ứng tổng hợp</w:t>
      </w:r>
      <w:r>
        <w:t xml:space="preserve"> </w:t>
      </w:r>
      <m:oMath>
        <m:r>
          <m:t>r</m:t>
        </m:r>
        <m:r>
          <m:rPr>
            <m:sty m:val="p"/>
          </m:rPr>
          <m:t>=</m:t>
        </m:r>
        <m:r>
          <m:t>0</m:t>
        </m:r>
        <m:r>
          <m:rPr>
            <m:sty m:val="p"/>
          </m:rPr>
          <m:t>,</m:t>
        </m:r>
        <m:r>
          <m:t>074</m:t>
        </m:r>
      </m:oMath>
      <w:r>
        <w:t xml:space="preserve"> </w:t>
      </w:r>
      <w:r>
        <w:t xml:space="preserve">(phân tích tổng hợp) hoàn toàn nhất quán với</w:t>
      </w:r>
      <w:r>
        <w:t xml:space="preserve"> </w:t>
      </w:r>
      <m:oMath>
        <m:r>
          <m:t>r</m:t>
        </m:r>
        <m:r>
          <m:rPr>
            <m:sty m:val="p"/>
          </m:rPr>
          <m:t>=</m:t>
        </m:r>
        <m:r>
          <m:t>0</m:t>
        </m:r>
        <m:r>
          <m:rPr>
            <m:sty m:val="p"/>
          </m:rPr>
          <m:t>,</m:t>
        </m:r>
        <m:r>
          <m:t>07</m:t>
        </m:r>
      </m:oMath>
      <w:r>
        <w:t xml:space="preserve"> </w:t>
      </w:r>
      <w:r>
        <w:t xml:space="preserve">từ phân tích tổng hợp nền tảng đã công bố tại hội nghị ICBEF 2024 (Do &amp; Phan, 2024). Sự hội tụ này đáng kể, bởi phân tích tổng hợp mở rộng tập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w:t>
      </w:r>
      <w:r>
        <w:t xml:space="preserve">và còn áp dụng một cấu trúc ba tầng phức tạp hơn. Việc hiệu ứng tổng hợp vẫn vững khi tập nghiên cứu được mở rộng chính là bằng chứng về độ ổn định của ước lượng nền tảng.</w:t>
      </w:r>
    </w:p>
    <w:p>
      <w:pPr>
        <w:pStyle w:val="BodyText"/>
      </w:pPr>
      <w:r>
        <w:t xml:space="preserve">Tuy vậy, đóng góp của phân tích tổng hợp so với nền tảng không nằm ở giá trị</w:t>
      </w:r>
      <w:r>
        <w:t xml:space="preserve"> </w:t>
      </w:r>
      <m:oMath>
        <m:r>
          <m:t>r</m:t>
        </m:r>
      </m:oMath>
      <w:r>
        <w:t xml:space="preserve"> </w:t>
      </w:r>
      <w:r>
        <w:t xml:space="preserve">tổng hợp, mà ở hai phát hiện sắc bén hơn. Phát hiện thứ nhất là cấu trúc dị biệt: việc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ở tầng 2 và 8,4% ở tầng 3 là thông tin mới mà phân tích tổng hợp đơn tầng không thể cung cấp. Phát hiện này làm thay đổi hiểu biết về nguồn gốc của sự dị biệt giữa các nghiên cứu: vấn đề chủ yếu là</w:t>
      </w:r>
      <w:r>
        <w:t xml:space="preserve"> </w:t>
      </w:r>
      <w:r>
        <w:rPr>
          <w:bCs/>
          <w:b/>
        </w:rPr>
        <w:t xml:space="preserve">đo lường bên trong từng nghiên cứu</w:t>
      </w:r>
      <w:r>
        <w:t xml:space="preserve">, chứ không phải sự bất đồng căn bản giữa các nghiên cứu với nhau. Phát hiện thứ hai, và là một đóng góp hiệu chỉnh đối với toàn bộ văn liệu, là mức độ thiên lệch công bố: hiệu chỉnh trim-and-fill kéo hiệu ứng gộp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w:t>
      </w:r>
      <w:r>
        <w:t xml:space="preserve"> </w:t>
      </w:r>
      <w:r>
        <w:rPr>
          <w:bCs/>
          <w:b/>
        </w:rPr>
        <w:t xml:space="preserve">suy giảm khoảng 53%</w:t>
      </w:r>
      <w:r>
        <w:t xml:space="preserve">: hàm ý rằng quan hệ I-P trung bình được báo cáo suốt bốn thập kỷ có thể đã bị thổi phồng đáng kể. Đây là một ước lượng hiệu chỉnh được củng cố bởi kiểm định Begg có ý nghĩa (</w:t>
      </w:r>
      <m:oMath>
        <m:r>
          <m:t>τ</m:t>
        </m:r>
        <m:r>
          <m:rPr>
            <m:sty m:val="p"/>
          </m:rPr>
          <m:t>=</m:t>
        </m:r>
        <m:r>
          <m:rPr>
            <m:sty m:val="p"/>
          </m:rPr>
          <m:t>−</m:t>
        </m:r>
        <m:r>
          <m:t>0</m:t>
        </m:r>
        <m:r>
          <m:rPr>
            <m:sty m:val="p"/>
          </m:rPr>
          <m:t>,</m:t>
        </m:r>
        <m:r>
          <m:t>134</m:t>
        </m:r>
      </m:oMath>
      <w:r>
        <w:t xml:space="preserve">,</w:t>
      </w:r>
      <w:r>
        <w:t xml:space="preserve"> </w:t>
      </w:r>
      <m:oMath>
        <m:r>
          <m:t>p</m:t>
        </m:r>
        <m:r>
          <m:rPr>
            <m:sty m:val="p"/>
          </m:rPr>
          <m:t>&lt;</m:t>
        </m:r>
        <m:r>
          <m:rPr>
            <m:sty m:val="p"/>
          </m:rPr>
          <m:t>,</m:t>
        </m:r>
        <m:r>
          <m:t>001</m:t>
        </m:r>
      </m:oMath>
      <w:r>
        <w:t xml:space="preserve">); do kiểm định Egger chỉ ở mức biên (</w:t>
      </w:r>
      <m:oMath>
        <m:r>
          <m:t>p</m:t>
        </m:r>
        <m:r>
          <m:rPr>
            <m:sty m:val="p"/>
          </m:rPr>
          <m:t>=</m:t>
        </m:r>
        <m:r>
          <m:rPr>
            <m:sty m:val="p"/>
          </m:rPr>
          <m:t>,</m:t>
        </m:r>
        <m:r>
          <m:t>057</m:t>
        </m:r>
      </m:oMath>
      <w:r>
        <w:t xml:space="preserve">), luận án trình bày con số 53% như một tín hiệu định hướng mạnh chứ không phải một độ lớn đã chốt.</w:t>
      </w:r>
    </w:p>
    <w:bookmarkEnd w:id="28"/>
    <w:bookmarkStart w:id="29" w:name="X7b8db85450aaa41ba255e0d181ebc5c5ae65c48"/>
    <w:p>
      <w:pPr>
        <w:pStyle w:val="Heading3"/>
      </w:pPr>
      <w:r>
        <w:t xml:space="preserve">5.2.2 Vượt qua Lu và Beamish (2004) và Contractor et al. (2003)</w:t>
      </w:r>
    </w:p>
    <w:p>
      <w:pPr>
        <w:pStyle w:val="FirstParagraph"/>
      </w:pPr>
      <w:r>
        <w:t xml:space="preserve">Lu và Beamish (2004) cùng Contractor et al. (2003) là hai công trình nền tảng về quan hệ phi tuyến I-P. Lu và Beamish (2004) tìm thấy điểm uốn khoảng 60% FSTS trong mẫu doanh nghiệp Nhật Bản, còn Contractor et al. (2003) đề xuất đường cong chữ S ba giai đoạn. Luận án này vượt lên hai công trình đó theo ba hướng.</w:t>
      </w:r>
    </w:p>
    <w:p>
      <w:pPr>
        <w:pStyle w:val="BodyText"/>
      </w:pPr>
      <w:r>
        <w:t xml:space="preserve">Trước hết, luận án chứng minh rằng điểm uốn</w:t>
      </w:r>
      <w:r>
        <w:t xml:space="preserve"> </w:t>
      </w:r>
      <w:r>
        <w:rPr>
          <w:bCs/>
          <w:b/>
        </w:rPr>
        <w:t xml:space="preserve">không cố định</w:t>
      </w:r>
      <w:r>
        <w:t xml:space="preserve"> </w:t>
      </w:r>
      <w:r>
        <w:t xml:space="preserve">mà phụ thuộc bối cảnh ICRV: từ khoảng 82% ở Singapore (tiên tiến dẫn dắt bằng đổi mới) đến khoảng 39,7% ở Việt Nam gộp (chuyển đổi thu nhập trung bình thấp), với Trung Quốc ở mức trung gian, khoảng 48,78%. Không tồn tại một điểm uốn phổ quát cho mọi bối cảnh.</w:t>
      </w:r>
    </w:p>
    <w:p>
      <w:pPr>
        <w:pStyle w:val="BodyText"/>
      </w:pPr>
      <w:r>
        <w:t xml:space="preserve">Tiếp đó, luận án xác định trường hợp biên FIP tại các nền kinh tế đảo nhỏ: không phải chữ S hay chữ U ngược, mà là quan hệ âm đơn điệu, điều mà cả lý thuyết ba giai đoạn lẫn đường cong chữ S đều không dự báo được.</w:t>
      </w:r>
    </w:p>
    <w:p>
      <w:pPr>
        <w:pStyle w:val="BodyText"/>
      </w:pPr>
      <w:r>
        <w:t xml:space="preserve">Sau cùng, luận án mở rộng khung phân tích từ dữ liệu doanh nghiệp Nhật Bản và đa quốc gia sang 45 nền kinh tế châu Á và Thái Bình Dương, một bối cảnh còn ít được đại diện trong các nghiên cứu của Lu và Beamish.</w:t>
      </w:r>
    </w:p>
    <w:bookmarkEnd w:id="29"/>
    <w:bookmarkStart w:id="30" w:name="Xa9e0768422fd6621b6e86563bb0c71b914b0101"/>
    <w:p>
      <w:pPr>
        <w:pStyle w:val="Heading3"/>
      </w:pPr>
      <w:r>
        <w:t xml:space="preserve">5.2.3 Mở rộng Marano et al. (2016): ICRV thay cho chất lượng thể chế nhị phân</w:t>
      </w:r>
    </w:p>
    <w:p>
      <w:pPr>
        <w:pStyle w:val="FirstParagraph"/>
      </w:pPr>
      <w:r>
        <w:t xml:space="preserve">Marano et al. (2016) là phân tích tổng hợp quan trọng nhất trong những nghiên cứu gần đây, cung cấp bằng chứng về vai trò điều tiết của thể chế quốc gia nguồn trong quan hệ I-P. Tuy nhiên, nhóm tác giả này dùng phân loại nhị phân, phát triển so với mới nổi, hoặc dùng điểm số chất lượng thể chế liên tục.</w:t>
      </w:r>
    </w:p>
    <w:p>
      <w:pPr>
        <w:pStyle w:val="BodyText"/>
      </w:pPr>
      <w:r>
        <w:t xml:space="preserve">Luận án này mở rộng Marano et al. (2016) theo hướng</w:t>
      </w:r>
      <w:r>
        <w:t xml:space="preserve"> </w:t>
      </w:r>
      <w:r>
        <w:rPr>
          <w:bCs/>
          <w:b/>
        </w:rPr>
        <w:t xml:space="preserve">phân loại đa chiều</w:t>
      </w:r>
      <w:r>
        <w:t xml:space="preserve">. Sáu nhóm con ICRV nắm bắt được sự đa dạng ngay trong nội bộ nhóm</w:t>
      </w:r>
      <w:r>
        <w:t xml:space="preserve"> </w:t>
      </w:r>
      <w:r>
        <w:t xml:space="preserve">“</w:t>
      </w:r>
      <w:r>
        <w:t xml:space="preserve">mới nổi</w:t>
      </w:r>
      <w:r>
        <w:t xml:space="preserve">”</w:t>
      </w:r>
      <w:r>
        <w:t xml:space="preserve">, phân biệt Trung Quốc thu nhập trung bình cao với Việt Nam thu nhập trung bình thấp, với Bangladesh cận biên và các nền kinh tế đảo nhỏ; đồng thời phân biệt trong nhóm</w:t>
      </w:r>
      <w:r>
        <w:t xml:space="preserve"> </w:t>
      </w:r>
      <w:r>
        <w:t xml:space="preserve">“</w:t>
      </w:r>
      <w:r>
        <w:t xml:space="preserve">tiên tiến</w:t>
      </w:r>
      <w:r>
        <w:t xml:space="preserve">”</w:t>
      </w:r>
      <w:r>
        <w:t xml:space="preserve">, tách Singapore dẫn dắt bằng đổi mới khỏi các nền kinh tế vùng Vịnh dẫn dắt bằng tài nguyên. Phân loại nhị phân bỏ sót chính sự biến thiên quan trọng này, nên đánh mất thông tin về dải biến thiên.</w:t>
      </w:r>
    </w:p>
    <w:p>
      <w:pPr>
        <w:pStyle w:val="BodyText"/>
      </w:pPr>
      <w:r>
        <w:t xml:space="preserve">Bên cạnh đó, luận án dùng phương pháp phân tích tổng hợp ba tầng để tách cấu trúc dị biệt, một cải tiến phương pháp so với phân tích tổng hợp hiệu ứng ngẫu nhiên đơn tầng của Marano et al. (2016).</w:t>
      </w:r>
    </w:p>
    <w:p>
      <w:r>
        <w:pict>
          <v:rect style="width:0;height:1.5pt" o:hralign="center" o:hrstd="t" o:hr="t"/>
        </w:pict>
      </w:r>
    </w:p>
    <w:bookmarkEnd w:id="30"/>
    <w:bookmarkEnd w:id="31"/>
    <w:bookmarkStart w:id="35" w:name="đóng-góp-lý-thuyết"/>
    <w:p>
      <w:pPr>
        <w:pStyle w:val="Heading2"/>
      </w:pPr>
      <w:r>
        <w:t xml:space="preserve">5.3 Đóng góp lý thuyết</w:t>
      </w:r>
    </w:p>
    <w:bookmarkStart w:id="32" w:name="cdcm-làm-rõ-dai-là-nguồn-lực-tình-huống"/>
    <w:p>
      <w:pPr>
        <w:pStyle w:val="Heading3"/>
      </w:pPr>
      <w:r>
        <w:t xml:space="preserve">5.3.1 CDCM: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DAI có hiệu ứng nâng mặt bằng phổ quát (β = +0,172, p &lt; 0,001, mẫu gộp N=82.302 từ 45 nền kinh tế), nhưng vai trò uốn đường cong I-P lại</w:t>
      </w:r>
      <w:r>
        <w:t xml:space="preserve"> </w:t>
      </w:r>
      <w:r>
        <w:rPr>
          <w:bCs/>
          <w:b/>
        </w:rPr>
        <w:t xml:space="preserve">phụ thuộc bối cảnh</w:t>
      </w:r>
      <w:r>
        <w:t xml:space="preserve"> </w:t>
      </w:r>
      <w:r>
        <w:t xml:space="preserve">(DAI×ICRV: p = 0,049). Điều đó gợi ý rằng DAI không phải năng lực nền tảng như TCI, mà là</w:t>
      </w:r>
      <w:r>
        <w:t xml:space="preserve"> </w:t>
      </w:r>
      <w:r>
        <w:rPr>
          <w:bCs/>
          <w:b/>
        </w:rPr>
        <w:t xml:space="preserve">nguồn lực tình huống</w:t>
      </w:r>
      <w:r>
        <w:t xml:space="preserve">, một tài nguyên có vai trò thay đổi theo bối cảnh thể chế. Đáng chú ý, tương tác DAI×ICRV (p = 0,049) cho thấy hiệu ứng điều tiết của DAI</w:t>
      </w:r>
      <w:r>
        <w:t xml:space="preserve"> </w:t>
      </w:r>
      <w:r>
        <w:rPr>
          <w:bCs/>
          <w:b/>
        </w:rPr>
        <w:t xml:space="preserve">mạnh hơn</w:t>
      </w:r>
      <w:r>
        <w:t xml:space="preserve"> </w:t>
      </w:r>
      <w:r>
        <w:t xml:space="preserve">ở các nền kinh tế thể chế yếu (cận biên, đảo nhỏ): năng lực số bù đắp cho thiếu hụt thể chế.</w:t>
      </w:r>
    </w:p>
    <w:p>
      <w:pPr>
        <w:pStyle w:val="BodyText"/>
      </w:pPr>
      <w:r>
        <w:t xml:space="preserve">Phát hiện này mang hàm ý lý thuyết quan trọng cho RBV và các nghiên cứu về năng lực số (Bhandari et al., 2023; Verhoef et al., 2021): không phải mọi nguồn lực số đều tạo lợi thế cạnh tranh theo cùng một cơ chế trong mọi bối cảnh. Giá trị của DAI là một tài sản bổ trợ (Teece, 1986) cho bối cảnh thể chế, nhưng theo hướng</w:t>
      </w:r>
      <w:r>
        <w:t xml:space="preserve"> </w:t>
      </w:r>
      <w:r>
        <w:rPr>
          <w:bCs/>
          <w:b/>
        </w:rPr>
        <w:t xml:space="preserve">nghịch chiều</w:t>
      </w:r>
      <w:r>
        <w:t xml:space="preserve">: DAI hoạt động như tài sản bù đắp trong bối cảnh thể chế yếu, nơi hạ tầng thể chế chưa đủ sức hỗ trợ doanh nghiệp xuất khẩu. Đây là bằng chứng thực nghiệm bổ sung cho lý thuyết về vai trò thay thế giữa thể chế và năng lực số.</w:t>
      </w:r>
    </w:p>
    <w:bookmarkEnd w:id="32"/>
    <w:bookmarkStart w:id="33" w:name="X2d492fa0307aa4991837f2d5dc38e247101178c"/>
    <w:p>
      <w:pPr>
        <w:pStyle w:val="Heading3"/>
      </w:pPr>
      <w:r>
        <w:t xml:space="preserve">5.3.2 FIP, Khái niệm mới về trường hợp biên cho SIDS</w:t>
      </w:r>
    </w:p>
    <w:p>
      <w:pPr>
        <w:pStyle w:val="FirstParagraph"/>
      </w:pPr>
      <w:r>
        <w:t xml:space="preserve">Đóng góp lý thuyết thứ hai là đề xuất và đặt tên cho</w:t>
      </w:r>
      <w:r>
        <w:t xml:space="preserve"> </w:t>
      </w:r>
      <w:r>
        <w:rPr>
          <w:bCs/>
          <w:b/>
        </w:rPr>
        <w:t xml:space="preserve">gánh nặng quốc tế hóa bắt buộc (Forced Internationalization Penalty, FIP)</w:t>
      </w:r>
      <w:r>
        <w:t xml:space="preserve">, một cấu trúc lý thuyết mới chưa từng được định danh trong tài liệu nghiên cứu kinh doanh quốc tế. Đây là một hiện tượng lý thuyết độc lập, khác về bản chất với phần sườn đi xuống của giai đoạn đầu trong lý thuyết đường cong chữ S. FIP không phải là giai đoạn đầu của quá trình học hỏi với chi phí học hỏi như mô hình Uppsala dự đoán, mà là một trạng thái cấu trúc bất lợi kéo dài: doanh nghiệp đảo nhỏ buộc phải xuất khẩu để tồn tại vì thị trường nội địa quá nhỏ, nhưng lại thiếu cả năng lực lẫn môi trường để hưởng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quốc tế hóa càng sâu lại càng làm hiệu quả tệ đi? Luận án lập luận rằng FIP xuất hiện khi ba điều kiện cùng hội tụ: thể chế ICRV ở mức thấp nhất, quy mô nền kinh tế quá nhỏ để tạo cơ sở nội địa, và thiếu hỗ trợ chính sách cho năng lực xuất khẩu. Ba điều kiện này kết hợp lại tạo nên một cái bẫy quốc tế hóa bắt buộc, không có điểm uốn nào để thoát ra.</w:t>
      </w:r>
    </w:p>
    <w:bookmarkEnd w:id="33"/>
    <w:bookmarkStart w:id="34" w:name="X7352a2da659179c15b73f9225773fcebe172e9a"/>
    <w:p>
      <w:pPr>
        <w:pStyle w:val="Heading3"/>
      </w:pPr>
      <w:r>
        <w:t xml:space="preserve">5.3.3 ICRV sáu chế độ: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nhóm con</w:t>
      </w:r>
      <w:r>
        <w:t xml:space="preserve"> </w:t>
      </w:r>
      <w:r>
        <w:t xml:space="preserve">như một công cụ phân loại thể chế đặc thù cho khu vực châu Á, Thái Bình Dương, thay cho các phân loại nhị phân (phát triển và mới nổi) hay liên tục (điểm số WGI) trong các nghiên cứu hiện tại.</w:t>
      </w:r>
    </w:p>
    <w:p>
      <w:pPr>
        <w:pStyle w:val="BodyText"/>
      </w:pPr>
      <w:r>
        <w:t xml:space="preserve">ICRV nắm bắt được một sự đa dạng thể chế chưa từng được vận hành hóa đầy đủ. Đó là khác biệt giữa Singapore, nhóm tiên tiến dẫn dắt bằng đổi mới với pháp quyền mạnh và hệ sinh thái đổi mới, với các nền kinh tế vùng Vịnh, nhóm tiên tiến dẫn dắt bằng tài nguyên giàu tài nguyên nhưng có hệ sinh thái đổi mới khác hẳn. Đó cũng là khác biệt giữa Trung Quốc thu nhập trung bình cao, nơi nhà nước can thiệp mạnh, với Việt Nam thu nhập trung bình thấp đang cải cách, và với Bangladesh cận biên với khoảng trống thể chế lớn. ICRV không chỉ là một phân loại mô tả, mà còn là một phân loại</w:t>
      </w:r>
      <w:r>
        <w:t xml:space="preserve"> </w:t>
      </w:r>
      <w:r>
        <w:rPr>
          <w:bCs/>
          <w:b/>
        </w:rPr>
        <w:t xml:space="preserve">có giá trị dự đoán</w:t>
      </w:r>
      <w:r>
        <w:t xml:space="preserve">: độ cong (concavity / biên độ) của quan hệ I-P sâu dần khi chất lượng thể chế suy giảm, từ gần tuyến tính ở chế độ tiên tiến dẫn dắt bằng đổi mới đến hình chữ U ngược rõ nét với hình phạt sau đỉnh gay gắt ở chế độ cận biên và đảo nhỏ, trong khi điểm uốn theo nhóm không đồng nhất và không dịch chuyển đơn điệu. Thể chế càng yếu, hình phạt cho quốc tế hóa quá mức càng gay gắt, đúng như giá trị dự đoán của phân loại.</w:t>
      </w:r>
    </w:p>
    <w:p>
      <w:r>
        <w:pict>
          <v:rect style="width:0;height:1.5pt" o:hralign="center" o:hrstd="t" o:hr="t"/>
        </w:pict>
      </w:r>
    </w:p>
    <w:bookmarkEnd w:id="34"/>
    <w:bookmarkEnd w:id="35"/>
    <w:bookmarkStart w:id="40" w:name="đề-xuất-chính-sách-và-quản-trị"/>
    <w:p>
      <w:pPr>
        <w:pStyle w:val="Heading2"/>
      </w:pPr>
      <w:r>
        <w:t xml:space="preserve">5.4 Đề xuất chính sách và quản trị</w:t>
      </w:r>
    </w:p>
    <w:bookmarkStart w:id="36" w:name="Xbc6d621fc32e0aca77269dff0917fe138aa2fc5"/>
    <w:p>
      <w:pPr>
        <w:pStyle w:val="Heading3"/>
      </w:pPr>
      <w:r>
        <w:t xml:space="preserve">5.4.1 Đề xuất cho nhà hoạch định chính sách: nâng cao TCI và cải thiện thể chế</w:t>
      </w:r>
    </w:p>
    <w:p>
      <w:pPr>
        <w:pStyle w:val="FirstParagraph"/>
      </w:pPr>
      <w:r>
        <w:t xml:space="preserve">Kết quả về TCI mang một hàm ý chính sách rõ ràng:</w:t>
      </w:r>
      <w:r>
        <w:t xml:space="preserve"> </w:t>
      </w:r>
      <w:r>
        <w:rPr>
          <w:bCs/>
          <w:b/>
        </w:rPr>
        <w:t xml:space="preserve">đầu tư vào năng lực công nghệ của doanh nghiệp</w:t>
      </w:r>
      <w:r>
        <w:t xml:space="preserve"> </w:t>
      </w:r>
      <w:r>
        <w:t xml:space="preserve">là một can thiệp có thể nâng cao lợi ích từ quốc tế hóa, nhất là ở các bối cảnh ICRV trung bình như Việt Nam và Trung Quốc. Chính sách giúp doanh nghiệp tiếp cận công nghệ nước ngoài, qua chương trình kết nối với công ty đa quốc gia hay giảm thuế nhập khẩu công nghệ, cùng với khuyến khích nghiên cứu và phát triển và hỗ trợ chứng nhận chất lượng quốc tế, sẽ nâng TCI của toàn bộ doanh nghiệp trong nền kinh tế. Nhờ đó, đường I-P dịch lên trên và điểm uốn có thể mở rộng về phía phải.</w:t>
      </w:r>
    </w:p>
    <w:p>
      <w:pPr>
        <w:pStyle w:val="BodyText"/>
      </w:pPr>
      <w:r>
        <w:t xml:space="preserve">Dải biến thiên ICRV gợi ý rằng</w:t>
      </w:r>
      <w:r>
        <w:t xml:space="preserve"> </w:t>
      </w:r>
      <w:r>
        <w:rPr>
          <w:bCs/>
          <w:b/>
        </w:rPr>
        <w:t xml:space="preserve">cải thiện chất lượng thể chế</w:t>
      </w:r>
      <w:r>
        <w:t xml:space="preserve">, gồm pháp quyền, bảo vệ quyền sở hữu trí tuệ và giảm chi phí tuân thủ thương mại, mới là can thiệp dài hạn quan trọng nhất. Doanh nghiệp ở nền kinh tế thể chế tốt hơn có thể quốc tế hóa đến mức cao hơn trước khi chi phí vượt qua lợi ích. Như vậy, cải cách thể chế không chỉ có lợi cho kinh doanh nội địa, mà còn mở rộng cả không gian lợi ích từ xuất khẩu.</w:t>
      </w:r>
    </w:p>
    <w:p>
      <w:pPr>
        <w:pStyle w:val="BodyText"/>
      </w:pPr>
      <w:r>
        <w:t xml:space="preserve">Riêng với Việt Nam, việc điểm uốn dịch từ 46,2% (2009) xuống 39,3% (2015) là một tín hiệu đáng lo ngại. Nếu điểm uốn tiếp tục dịch sang trái, lợi ích từ xuất khẩu sẽ đạt đỉnh sớm hơn và suy giảm nhanh hơn, có thể vì cấu trúc xuất khẩu thiên về gia công với biên lợi nhuận mỏng. Chính sách nâng cao giá trị gia tăng trong xuất khẩu, tức tiến lên các nấc cao hơn trong chuỗi giá trị, kết hợp với tăng cường TCI, có thể giúp đảo ngược xu hướng này.</w:t>
      </w:r>
    </w:p>
    <w:bookmarkEnd w:id="36"/>
    <w:bookmarkStart w:id="37" w:name="X59d919466906d9a280d645023e1878e458893ad"/>
    <w:p>
      <w:pPr>
        <w:pStyle w:val="Heading3"/>
      </w:pPr>
      <w:r>
        <w:t xml:space="preserve">5.4.2 Đề xuất cho nhà quản trị doanh nghiệp: điểm uốn theo ICRV</w:t>
      </w:r>
    </w:p>
    <w:p>
      <w:pPr>
        <w:pStyle w:val="FirstParagraph"/>
      </w:pPr>
      <w:r>
        <w:t xml:space="preserve">Kết quả thực nghiệm cung cấp những</w:t>
      </w:r>
      <w:r>
        <w:t xml:space="preserve"> </w:t>
      </w:r>
      <w:r>
        <w:rPr>
          <w:bCs/>
          <w:b/>
        </w:rPr>
        <w:t xml:space="preserve">chỉ dẫn thực tế</w:t>
      </w:r>
      <w:r>
        <w:t xml:space="preserve"> </w:t>
      </w:r>
      <w:r>
        <w:t xml:space="preserve">cho nhà quản trị về mức độ quốc tế hóa tối ưu theo từng bối cảnh:</w:t>
      </w:r>
    </w:p>
    <w:p>
      <w:pPr>
        <w:numPr>
          <w:ilvl w:val="0"/>
          <w:numId w:val="1001"/>
        </w:numPr>
      </w:pPr>
      <w:r>
        <w:rPr>
          <w:bCs/>
          <w:b/>
        </w:rPr>
        <w:t xml:space="preserve">Doanh nghiệp Singapore (Nhóm I)</w:t>
      </w:r>
      <w:r>
        <w:t xml:space="preserve">: điểm uốn khoảng 82% cho thấy không gian quốc tế hóa rất rộng. Chiến lược mở rộng quốc tế mạnh mẽ, với mức cam kết cao, phù hợp với bối cảnh này, nhất là khi đi kèm DAI cao.</w:t>
      </w:r>
    </w:p>
    <w:p>
      <w:pPr>
        <w:numPr>
          <w:ilvl w:val="0"/>
          <w:numId w:val="1001"/>
        </w:numPr>
      </w:pPr>
      <w:r>
        <w:rPr>
          <w:bCs/>
          <w:b/>
        </w:rPr>
        <w:t xml:space="preserve">Doanh nghiệp Trung Quốc (Nhóm III)</w:t>
      </w:r>
      <w:r>
        <w:t xml:space="preserve">: điểm uốn khoảng 48,78% ổn định qua thập kỷ 2012-2024, gợi ý rằng chiến lược xuất khẩu tối ưu là giữ tỷ lệ FSTS trong khoảng 40-50%, cân bằng giữa thị trường nội địa khổng lồ và hoạt động xuất khẩu có chọn lọc.</w:t>
      </w:r>
    </w:p>
    <w:p>
      <w:pPr>
        <w:numPr>
          <w:ilvl w:val="0"/>
          <w:numId w:val="1001"/>
        </w:numPr>
      </w:pPr>
      <w:r>
        <w:rPr>
          <w:bCs/>
          <w:b/>
        </w:rPr>
        <w:t xml:space="preserve">Doanh nghiệp Việt Nam (Nhóm IV)</w:t>
      </w:r>
      <w:r>
        <w:t xml:space="preserve">: điểm uốn thấp hơn, trong khoảng 39,3-46,2%, hàm ý nhà quản trị cần thận trọng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chỉ tăng FSTS đơn thuần.</w:t>
      </w:r>
    </w:p>
    <w:p>
      <w:pPr>
        <w:numPr>
          <w:ilvl w:val="0"/>
          <w:numId w:val="1001"/>
        </w:numPr>
      </w:pPr>
      <w:r>
        <w:rPr>
          <w:bCs/>
          <w:b/>
        </w:rPr>
        <w:t xml:space="preserve">Doanh nghiệp đảo nhỏ Thái Bình Dương (Nhóm VI)</w:t>
      </w:r>
      <w:r>
        <w:t xml:space="preserve">: kết quả FIP là một lời cảnh báo nghiêm túc. Đẩy mạnh xuất khẩu trong điều kiện thiếu năng lực và hỗ trợ thể chế không những không cải thiện, mà còn có thể làm xấu đi hiệu quả hoạt động. Các doanh nghiệp này nên ưu tiên xây dựng năng lực nội địa và nâng cao TCI trước khi mở rộng xuất khẩu đáng kể.</w:t>
      </w:r>
    </w:p>
    <w:bookmarkEnd w:id="37"/>
    <w:bookmarkStart w:id="38" w:name="X8eb24980ca890fc6da7d7cc40ee5058abf48ce9"/>
    <w:p>
      <w:pPr>
        <w:pStyle w:val="Heading3"/>
      </w:pPr>
      <w:r>
        <w:t xml:space="preserve">5.4.3 Đề xuất riêng cho đảo nhỏ Thái Bình Dương: tránh bẫy quốc tế hóa bắt buộc</w:t>
      </w:r>
    </w:p>
    <w:p>
      <w:pPr>
        <w:pStyle w:val="FirstParagraph"/>
      </w:pPr>
      <w:r>
        <w:t xml:space="preserve">Phát hiện FIP tại chín quốc gia đảo nhỏ Thái Bình Dương mang một hàm ý chính sách cụ thể và cấp bách. Hiện nay, nhiều chương trình phát triển quốc tế và viện trợ thương mại cho khu vực này tập trung vào việc khuyến khích xuất khẩu như một chiến lược tăng trưởng. Kết quả FIP đặt dấu hỏi về hiệu quả của chiến lược ấy khi nền tảng năng lực tương ứng còn thiếu.</w:t>
      </w:r>
    </w:p>
    <w:p>
      <w:pPr>
        <w:pStyle w:val="BodyText"/>
      </w:pPr>
      <w:r>
        <w:t xml:space="preserve">Hàm ý chính sách rút ra là:</w:t>
      </w:r>
      <w:r>
        <w:t xml:space="preserve"> </w:t>
      </w:r>
      <w:r>
        <w:rPr>
          <w:bCs/>
          <w:b/>
        </w:rPr>
        <w:t xml:space="preserve">vấn đề không phải xuất khẩu nhiều hơn, mà là xuất khẩu tốt hơn</w:t>
      </w:r>
      <w:r>
        <w:t xml:space="preserve">. Cụ thể, ưu tiên nên đặt vào ba hướng: xây dựng hạ tầng hậu cần và kết nối để giảm chi phí cố định của xuất khẩu; phát triển năng lực doanh nghiệp qua TCI chứ không chỉ qua DAI bề mặt; và thiết kế chương trình hỗ trợ xuất khẩu có chọn lọc, hướng vào những doanh nghiệp đã đủ năng lực để hưởng lợi, thay vì khuyến khích đại trà. Tóm lại, muốn tránh bẫy quốc tế hóa bắt buộc thì các can thiệp chính sách phải xây dựng năng lực trước khi thúc đẩy mở rộng thị trường.</w:t>
      </w:r>
    </w:p>
    <w:bookmarkEnd w:id="38"/>
    <w:bookmarkStart w:id="39" w:name="Xe9c04ec45c7d98621ecb7c78564ab84a21b4658"/>
    <w:p>
      <w:pPr>
        <w:pStyle w:val="Heading3"/>
      </w:pPr>
      <w:r>
        <w:t xml:space="preserve">5.4.4 Ý nghĩa chính sách đặc thù cho Đồng bằng sông Cửu Long</w:t>
      </w:r>
    </w:p>
    <w:p>
      <w:pPr>
        <w:pStyle w:val="FirstParagraph"/>
      </w:pPr>
      <w:r>
        <w:t xml:space="preserve">Kết quả từ Nghiên cứu phân tích Việt Nam (Việt Nam, ICRV Nhóm IV) mang hàm ý cụ thể và trực tiếp cho bối cảnh Đồng bằng sông Cửu Long, khu vực chiếm gần 18% GDP cả nước, hơn 50% sản lượng gạo và 65% kim ngạch xuất khẩu thủy sản của Việt Nam. Doanh nghiệp xuất khẩu nơi đây hoạt động trong cùng bối cảnh thể chế với mẫu phân tích Việt Nam, nhưng đặc điểm cấu trúc còn nhiều thách thức hơn: doanh nghiệp nhỏ và vừa chiếm ưu thế, TCI thấp hơn mức trung bình quốc gia, và tỷ lệ FSTS cấu trúc cao, vì gạo và thủy sản vốn là hàng hóa xuất khẩu chủ yếu, không có thị trường nội địa đủ lớn để hấp thụ.</w:t>
      </w:r>
    </w:p>
    <w:p>
      <w:pPr>
        <w:pStyle w:val="BodyText"/>
      </w:pPr>
      <w:r>
        <w:rPr>
          <w:bCs/>
          <w:b/>
        </w:rPr>
        <w:t xml:space="preserve">Điểm uốn thấp, khoảng 39-46% FSTS, là một cảnh báo cụ thể cho doanh nghiệp xuất khẩu thủy sản và gạo Đồng bằng sông Cửu Long</w:t>
      </w:r>
      <w:r>
        <w:t xml:space="preserve">, nơi cấu trúc ngành buộc tỷ trọng xuất khẩu thường vượt 50-70% tổng doanh thu. Kết quả phân tích Việt Nam gợi ý rằng nhiều doanh nghiệp trong số đó đang ở phía bên phải điểm uốn, tức đang gánh chi phí phối hợp quốc tế mà năng suất không tăng tương ứng. Vì không có thị trường nội địa đủ lớn để thay thế, giải pháp không thể là giảm xuất khẩu, mà phải là</w:t>
      </w:r>
      <w:r>
        <w:t xml:space="preserve"> </w:t>
      </w:r>
      <w:r>
        <w:rPr>
          <w:bCs/>
          <w:b/>
        </w:rPr>
        <w:t xml:space="preserve">kéo dài đỉnh của đường cong chữ U</w:t>
      </w:r>
      <w:r>
        <w:t xml:space="preserve">, tức mở rộng vùng cường độ xuất khẩu còn sinh lợi bằng cách nâng năng lực để đẩy điểm uốn sang phải.</w:t>
      </w:r>
    </w:p>
    <w:p>
      <w:pPr>
        <w:pStyle w:val="BodyText"/>
      </w:pPr>
      <w:r>
        <w:t xml:space="preserve">Điều then chốt là phải dịch khái niệm trừu tượng</w:t>
      </w:r>
      <w:r>
        <w:t xml:space="preserve"> </w:t>
      </w:r>
      <w:r>
        <w:t xml:space="preserve">“</w:t>
      </w:r>
      <w:r>
        <w:t xml:space="preserve">nâng TCI</w:t>
      </w:r>
      <w:r>
        <w:t xml:space="preserve">”</w:t>
      </w:r>
      <w:r>
        <w:t xml:space="preserve"> </w:t>
      </w:r>
      <w:r>
        <w:t xml:space="preserve">thành một lộ trình hành động gắn chặt với đặc thù chuỗi cung ứng nông – thủy sản, thay vì một khuyến nghị chung chung. Với một nhà máy chế biến cá tra hay tôm, nâng TCI không có nghĩa là theo đuổi công nghệ cao trừu tượng, mà cụ thể là</w:t>
      </w:r>
      <w:r>
        <w:t xml:space="preserve"> </w:t>
      </w:r>
      <w:r>
        <w:rPr>
          <w:bCs/>
          <w:b/>
        </w:rPr>
        <w:t xml:space="preserve">đạt các chứng nhận chất lượng quốc tế khắt khe như ASC (Aquaculture Stewardship Council) và BAP (Best Aquaculture Practices) cho thủy sản, hoặc GlobalGAP và SRP (Sustainable Rice Platform) cho gạo</w:t>
      </w:r>
      <w:r>
        <w:t xml:space="preserve">. Trong ngữ cảnh này, chứng nhận vận hành như một thứ vũ khí kép: nó giúp doanh nghiệp vượt qua các rào cản kỹ thuật trong thương mại (TBT/SPS) tại các thị trường EU, Hoa Kỳ và Nhật Bản, đồng thời biến chính chi phí tuân thủ thành một rào cản gia nhập đối với đối thủ năng lực thấp hơn, qua đó nâng biên lợi nhuận trên mỗi đơn vị xuất khẩu và đẩy điểm uốn về phía cường độ cao hơn.</w:t>
      </w:r>
    </w:p>
    <w:p>
      <w:pPr>
        <w:pStyle w:val="BodyText"/>
      </w:pPr>
      <w:r>
        <w:t xml:space="preserve">Về số hóa, bằng chứng đối chiếu giữa kết quả không có ý nghĩa (null) của DAI Tier-1 tại Việt Nam và hiệu ứng khuếch đại mạnh của DAI Tier-1+2 tại Singapore cung cấp một minh chứng thực nghiệm sắc bén: ở một thị trường chuyển đổi như Việt Nam, số hóa Tier-1 (chỉ gồm trang web, thư điện tử) đã trở thành một</w:t>
      </w:r>
      <w:r>
        <w:t xml:space="preserve"> </w:t>
      </w:r>
      <w:r>
        <w:rPr>
          <w:bCs/>
          <w:b/>
        </w:rPr>
        <w:t xml:space="preserve">yếu tố vệ sinh</w:t>
      </w:r>
      <w:r>
        <w:t xml:space="preserve"> </w:t>
      </w:r>
      <w:r>
        <w:t xml:space="preserve">(hygiene factor) phổ cập, hiện diện gần như khắp nơi nên không còn tạo khác biệt cạnh tranh và không đủ sức uốn cong đường hiệu quả. Hàm ý cho Đồng bằng sông Cửu Long do đó không phải là</w:t>
      </w:r>
      <w:r>
        <w:t xml:space="preserve"> </w:t>
      </w:r>
      <w:r>
        <w:t xml:space="preserve">“</w:t>
      </w:r>
      <w:r>
        <w:t xml:space="preserve">chuyển đổi số</w:t>
      </w:r>
      <w:r>
        <w:t xml:space="preserve">”</w:t>
      </w:r>
      <w:r>
        <w:t xml:space="preserve"> </w:t>
      </w:r>
      <w:r>
        <w:t xml:space="preserve">chung chung, mà là vượt qua</w:t>
      </w:r>
      <w:r>
        <w:t xml:space="preserve"> </w:t>
      </w:r>
      <w:r>
        <w:rPr>
          <w:bCs/>
          <w:b/>
        </w:rPr>
        <w:t xml:space="preserve">ngưỡng độ sâu</w:t>
      </w:r>
      <w:r>
        <w:t xml:space="preserve"> </w:t>
      </w:r>
      <w:r>
        <w:t xml:space="preserve">từ Tier-1 lên Tier-2, nơi năng lực số mới thực sự phát huy vai trò nguồn lực phụ thuộc bối cảnh và khuếch đại lợi nhuận ở mức quốc tế hóa cao. Cụ thể, DAI Tier-2 trong ngành nông – thủy sản chính là</w:t>
      </w:r>
      <w:r>
        <w:t xml:space="preserve"> </w:t>
      </w:r>
      <w:r>
        <w:rPr>
          <w:bCs/>
          <w:b/>
        </w:rPr>
        <w:t xml:space="preserve">hệ thống truy xuất nguồn gốc trên nền blockchain</w:t>
      </w:r>
      <w:r>
        <w:t xml:space="preserve"> </w:t>
      </w:r>
      <w:r>
        <w:t xml:space="preserve">và</w:t>
      </w:r>
      <w:r>
        <w:t xml:space="preserve"> </w:t>
      </w:r>
      <w:r>
        <w:rPr>
          <w:bCs/>
          <w:b/>
        </w:rPr>
        <w:t xml:space="preserve">phần mềm ERP kết nối trực tiếp nhà máy với hộ nông dân và vùng nuôi</w:t>
      </w:r>
      <w:r>
        <w:t xml:space="preserve">, kèm thanh toán điện tử xuyên suốt chuỗi. Đây chính là cơ chế</w:t>
      </w:r>
      <w:r>
        <w:t xml:space="preserve"> </w:t>
      </w:r>
      <w:r>
        <w:rPr>
          <w:bCs/>
          <w:b/>
        </w:rPr>
        <w:t xml:space="preserve">thay thế số cho thể chế</w:t>
      </w:r>
      <w:r>
        <w:t xml:space="preserve"> </w:t>
      </w:r>
      <w:r>
        <w:t xml:space="preserve">(digital-for-institutional substitution): ở nơi thể chế trung gian địa phương còn khoảng trống (hợp đồng khó thực thi, thông tin thị trường thiếu, chuẩn chất lượng khó giám sát), các công cụ số này hạ chi phí giao dịch bị đội lên do khoảng trống thể chế, đồng thời đáp ứng yêu cầu minh bạch nguồn gốc ngày càng ngặt nghèo từ nhà nhập khẩu. Bằng cách định nghĩa lại TCI và DAI bằng đúng ngôn ngữ của ngành hàng, các đề xuất này chuyển từ khuyến nghị hàn lâm sang một cẩm nang công nghệ khả thi cho doanh nghiệp và nhà hoạch định chính sách vùng, đúng tinh thần Chương trình Chuyển đổi số Quốc gia 2025-2030. Nghiên cứu trên dữ liệu WBES Việt Nam 2023, đợt khảo sát gần nhất, sẽ cung cấp bằng chứng cập nhật hơn cho các hàm ý này.</w:t>
      </w:r>
    </w:p>
    <w:p>
      <w:r>
        <w:pict>
          <v:rect style="width:0;height:1.5pt" o:hralign="center" o:hrstd="t" o:hr="t"/>
        </w:pict>
      </w:r>
    </w:p>
    <w:bookmarkEnd w:id="39"/>
    <w:bookmarkEnd w:id="40"/>
    <w:bookmarkStart w:id="45" w:name="hạn-chế-và-hướng-nghiên-cứu-tương-lai"/>
    <w:p>
      <w:pPr>
        <w:pStyle w:val="Heading2"/>
      </w:pPr>
      <w:r>
        <w:t xml:space="preserve">5.5 Hạn chế và hướng nghiên cứu tương lai</w:t>
      </w:r>
    </w:p>
    <w:bookmarkStart w:id="41" w:name="hạn-chế-về-đo-lường-dai"/>
    <w:p>
      <w:pPr>
        <w:pStyle w:val="Heading3"/>
      </w:pPr>
      <w:r>
        <w:t xml:space="preserve">5.5.1 Hạn chế về đo lường DAI</w:t>
      </w:r>
    </w:p>
    <w:p>
      <w:pPr>
        <w:pStyle w:val="FirstParagraph"/>
      </w:pPr>
      <w:r>
        <w:t xml:space="preserve">Hạn chế quan trọng nhất của luận án nằm ở việc đo lường DAI. Dữ liệu WBES chỉ cung cấp một số ít chỉ báo để xây dựng chỉ số DAI, và các chỉ báo này lại thay đổi qua các thế hệ lược đồ khảo sát WBES (PICS3, lược đồ chuẩn hóa, BREADY/BEE). Tại Việt Nam (Việt Nam), chỉ DAI Tier-1, gồm trang web, thư điện tử và bán hàng trực tuyến, được sử dụng, do giới hạn của các đợt khảo sát 2009 và 2015; còn Tier-2, gồm thanh toán điện tử và kết nối nhà cung ứng số, mãi đến năm 2023 mới có. Điều này dẫn đến nguy cơ đo lường không đầy đủ, đặc biệt là không nắm bắt được chiều sâu năng lực số ở các bối cảnh ICRV thấp.</w:t>
      </w:r>
    </w:p>
    <w:p>
      <w:pPr>
        <w:pStyle w:val="BodyText"/>
      </w:pPr>
      <w:r>
        <w:t xml:space="preserve">Tuy nhiên, cần phân biệt rõ giữa một giới hạn đo lường thuần túy và một phát hiện lý thuyết bị che lấp dưới hình thức giới hạn đo lường. Việc giải thích kết quả null của DAI tại Việt Nam đơn thuần như một khiếm khuyết dữ liệu của WBES là một lập luận phòng thủ và khiên cưỡng. Một cách diễn giải chặt chẽ hơn là xem Tier-1 không phải</w:t>
      </w:r>
      <w:r>
        <w:t xml:space="preserve"> </w:t>
      </w:r>
      <w:r>
        <w:t xml:space="preserve">“</w:t>
      </w:r>
      <w:r>
        <w:t xml:space="preserve">dữ liệu kém</w:t>
      </w:r>
      <w:r>
        <w:t xml:space="preserve">”</w:t>
      </w:r>
      <w:r>
        <w:t xml:space="preserve"> </w:t>
      </w:r>
      <w:r>
        <w:t xml:space="preserve">mà là một</w:t>
      </w:r>
      <w:r>
        <w:t xml:space="preserve"> </w:t>
      </w:r>
      <w:r>
        <w:rPr>
          <w:bCs/>
          <w:b/>
        </w:rPr>
        <w:t xml:space="preserve">rào cản tối thiểu đã bị bão hòa</w:t>
      </w:r>
      <w:r>
        <w:t xml:space="preserve">: tại các thị trường chuyển đổi, sự hiện diện số ở mức Tier-1 (có trang web, thư điện tử) đã phổ cập đến mức trở thành yếu tố vệ sinh, hiện diện gần như đồng đều giữa các doanh nghiệp nên không còn phương sai đủ để tạo khác biệt cạnh tranh hay làm bộ đệm uốn cong đường hiệu quả. Theo cách đọc này, kết quả null tại Việt Nam (chỉ Tier-1) đặt cạnh hiệu ứng khuếch đại có ý nghĩa tại Singapore (Tier-1+2) không phải là hai mảnh bằng chứng mâu thuẫn, mà cùng xác nhận một mệnh đề lý thuyết duy nhất: DAI là một nguồn lực phụ thuộc bối cảnh đòi hỏi một</w:t>
      </w:r>
      <w:r>
        <w:t xml:space="preserve"> </w:t>
      </w:r>
      <w:r>
        <w:rPr>
          <w:bCs/>
          <w:b/>
        </w:rPr>
        <w:t xml:space="preserve">ngưỡng độ sâu</w:t>
      </w:r>
      <w:r>
        <w:t xml:space="preserve"> </w:t>
      </w:r>
      <w:r>
        <w:t xml:space="preserve">nhất định, là sự chuyển dịch từ số hóa thông tin sang tích hợp số vào quy trình, mới đủ sức điều tiết quan hệ I-P. Diễn giải này biến một điểm yếu phương pháp thành một đóng góp lý thuyết, đồng thời định hướng cụ thể cho việc đo lường DAI đa tầng trong các nghiên cứu tương lai.</w:t>
      </w:r>
    </w:p>
    <w:p>
      <w:pPr>
        <w:pStyle w:val="BodyText"/>
      </w:pPr>
      <w:r>
        <w:t xml:space="preserve">Quan trọng hơn, mọi thước đo DAI đều mang tính tĩnh, ở một thời điểm khảo sát, nên không thể nắm bắt tính động của việc cập nhật và tái cấu hình năng lực số theo thời gian. Nói cách khác, các phát hiện về DAI trong luận án phản ánh mức chấp nhận số tại một thời điểm, chứ không phải năng lực số động theo nghĩa của lý thuyết năng lực động (Teece et al., 1997).</w:t>
      </w:r>
    </w:p>
    <w:bookmarkEnd w:id="41"/>
    <w:bookmarkStart w:id="42" w:name="X9c6addda56cacda8a31e56c0f8a748c29f6b6eb"/>
    <w:p>
      <w:pPr>
        <w:pStyle w:val="Heading3"/>
      </w:pPr>
      <w:r>
        <w:t xml:space="preserve">5.5.2 Hạn chế về sai lệch chọn mẫu trong mẫu con doanh nghiệp xuất khẩu</w:t>
      </w:r>
    </w:p>
    <w:p>
      <w:pPr>
        <w:pStyle w:val="FirstParagraph"/>
      </w:pPr>
      <w:r>
        <w:t xml:space="preserve">Các phân tích chỉ dùng mẫu doanh nghiệp xuất khẩu, chẳng hạn Singapore với N = 237 hay đảo nhỏ Thái Bình Dương với N = 187 doanh nghiệp xuất khẩu, đều đối mặt với nguy cơ sai lệch chọn mẫu nghiêm trọng. Doanh nghiệp xuất khẩu không phải mẫu ngẫu nhiên rút từ tổng thể, mà thường là những đơn vị đã có sẵn một số lợi thế ban đầu về năng suất, nguồn lực hay quan hệ. Vì thế, kết quả từ mẫu chỉ gồm doanh nghiệp xuất khẩu không thể khái quát trực tiếp cho toàn bộ doanh nghiệp, và có thể ước lượng thấp hoặc cao hơn thực tế tùy theo chiều của sự chọn lọc.</w:t>
      </w:r>
    </w:p>
    <w:p>
      <w:pPr>
        <w:pStyle w:val="BodyText"/>
      </w:pPr>
      <w:r>
        <w:t xml:space="preserve">Phân tích Heckman hai bước, hay các mô hình hiệu ứng can thiệp, trong nghiên cứu tương lai có thể khắc phục phần nào hạn chế này, bằng cách mô hình hóa quá trình tham gia xuất khẩu như giai đoạn thứ nhất, trước khi ước lượng hiệu quả ở giai đoạn thứ hai.</w:t>
      </w:r>
    </w:p>
    <w:bookmarkEnd w:id="42"/>
    <w:bookmarkStart w:id="43" w:name="hạn-chế-về-suy-luận-nhân-quả"/>
    <w:p>
      <w:pPr>
        <w:pStyle w:val="Heading3"/>
      </w:pPr>
      <w:r>
        <w:t xml:space="preserve">5.5.3 Hạn chế về suy luận nhân quả</w:t>
      </w:r>
    </w:p>
    <w:p>
      <w:pPr>
        <w:pStyle w:val="FirstParagraph"/>
      </w:pPr>
      <w:r>
        <w:t xml:space="preserve">Thiết kế cắt ngang, hoặc dữ liệu bảng gộp nhưng WBES không phải dữ liệu bảng thực sự theo dõi cùng doanh nghiệp qua thời gian, làm hạn chế khả năng suy luận nhân quả. Quan hệ I-P có thể chịu ảnh hưởng của nhân quả ngược: doanh nghiệp hiệu quả hơn thường có nhiều nguồn lực hơn để quốc tế hóa, tạo nên chiều nhân quả ngược lại. Hiệu ứng cố định quốc gia và năm giúp kiểm soát một phần, nhưng chưa thể xử lý trọn vẹn vấn đề nội sinh.</w:t>
      </w:r>
    </w:p>
    <w:bookmarkEnd w:id="43"/>
    <w:bookmarkStart w:id="44" w:name="hướng-nghiên-cứu-tương-lai"/>
    <w:p>
      <w:pPr>
        <w:pStyle w:val="Heading3"/>
      </w:pPr>
      <w:r>
        <w:t xml:space="preserve">5.5.4 Hướng nghiên cứu tương lai</w:t>
      </w:r>
    </w:p>
    <w:p>
      <w:pPr>
        <w:pStyle w:val="FirstParagraph"/>
      </w:pPr>
      <w:r>
        <w:t xml:space="preserve">Từ các hạn chế trên, luận án đề xuất bốn hướng nghiên cứu ưu tiên.</w:t>
      </w:r>
    </w:p>
    <w:p>
      <w:pPr>
        <w:pStyle w:val="BodyText"/>
      </w:pPr>
      <w:r>
        <w:t xml:space="preserve">Trước hết, cần xây dựng thước đo DAI phong phú hơn, ở Tier-2 và Tier-3, dựa trên dữ liệu WBES mới nhất giai đoạn 2023-2026 cùng các nguồn bổ sung như chỉ số phát triển số của Liên minh Viễn thông Quốc tế hay báo cáo kinh tế số của OECD, nhằm kiểm định lại vai trò của DAI ở các bối cảnh ICRV thấp hơn.</w:t>
      </w:r>
    </w:p>
    <w:p>
      <w:pPr>
        <w:pStyle w:val="BodyText"/>
      </w:pPr>
      <w:r>
        <w:t xml:space="preserve">Hướng thứ hai là vận dụng các phương pháp nhận dạng nhân quả, gồm biến công cụ, chẳng hạn các cải cách thương mại ngoại sinh như việc ký kết hiệp định thương mại tự do, phương pháp khác biệt trong khác biệt, hay thiết kế hồi quy gián đoạn, để ước lượng tác động nhân quả của quốc tế hóa lên hiệu quả.</w:t>
      </w:r>
    </w:p>
    <w:p>
      <w:pPr>
        <w:pStyle w:val="BodyText"/>
      </w:pPr>
      <w:r>
        <w:t xml:space="preserve">Hướng thứ ba là mở rộng phân tích FIP tại các nền kinh tế đảo nhỏ, với công cụ đo lường tốt hơn và dữ liệu bảng thực sự theo dõi cùng doanh nghiệp qua nhiều năm, nhằm kiểm định xem FIP là trạng thái cấu trúc dài hạn hay chỉ là giai đoạn tạm thời khi doanh nghiệp đảo nhỏ mới bắt đầu xuất khẩu.</w:t>
      </w:r>
    </w:p>
    <w:p>
      <w:pPr>
        <w:pStyle w:val="BodyText"/>
      </w:pPr>
      <w:r>
        <w:t xml:space="preserve">Sau cùng, trong luận án này đặc điểm nhà quản trị cấp cao (H4, gồm kinh nghiệm, học vấn và giới tính) được đưa vào như khối kiểm soát quản trị nội sinh chứ không phải nhân tố điều tiết trọng tâm; một hướng nghiên cứu tương lai là tách riêng và kiểm định khả năng điều tiết theo bối cảnh của các đặc điểm này trong từng chế độ ICRV, nhất là ở nhóm cận biên và đảo nhỏ, nơi tầng năng lực và thể chế đều yếu hơn, để xem liệu chất lượng quản trị có bù đắp được phần nào cho những thiếu hụt ấy hay không.</w:t>
      </w:r>
    </w:p>
    <w:p>
      <w:r>
        <w:pict>
          <v:rect style="width:0;height:1.5pt" o:hralign="center" o:hrstd="t" o:hr="t"/>
        </w:pict>
      </w:r>
    </w:p>
    <w:bookmarkEnd w:id="44"/>
    <w:bookmarkEnd w:id="45"/>
    <w:bookmarkStart w:id="50" w:name="kết-luận"/>
    <w:p>
      <w:pPr>
        <w:pStyle w:val="Heading2"/>
      </w:pPr>
      <w:r>
        <w:t xml:space="preserve">5.6 Kết luận</w:t>
      </w:r>
    </w:p>
    <w:bookmarkStart w:id="46" w:name="tổng-kết-tám-nghiên-cứu"/>
    <w:p>
      <w:pPr>
        <w:pStyle w:val="Heading3"/>
      </w:pPr>
      <w:r>
        <w:t xml:space="preserve">5.6.1 Tổng kết tám nghiên cứu</w:t>
      </w:r>
    </w:p>
    <w:p>
      <w:pPr>
        <w:pStyle w:val="FirstParagraph"/>
      </w:pPr>
      <w:r>
        <w:t xml:space="preserve">Luận án này được dựng trên tám nghiên cứu bổ sung cho nhau, kết hợp bằng chứng từ phân tích tổng hợp và phân tích thực nghiệm sơ cấp:</w:t>
      </w:r>
    </w:p>
    <w:p>
      <w:pPr>
        <w:numPr>
          <w:ilvl w:val="0"/>
          <w:numId w:val="1002"/>
        </w:numPr>
      </w:pPr>
      <w:r>
        <w:rPr>
          <w:bCs/>
          <w:b/>
        </w:rPr>
        <w:t xml:space="preserve">P1 và P2</w:t>
      </w:r>
      <w:r>
        <w:t xml:space="preserve"> </w:t>
      </w:r>
      <w:r>
        <w:t xml:space="preserve">(đã công bố, ICBEF 2024, Do &amp; Phan, 2024): thiết lập nền tảng phân tích tổng hợp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phân tích Việt Nam</w:t>
      </w:r>
      <w:r>
        <w:t xml:space="preserve">: phân tích Việt Nam (chuyển đổi thu nhập trung bình thấp), xác nhận chữ U ngược với điểm uốn 39,3-46,2%, TCI là yếu tố điều tiết dương có ý nghĩa.</w:t>
      </w:r>
    </w:p>
    <w:p>
      <w:pPr>
        <w:numPr>
          <w:ilvl w:val="0"/>
          <w:numId w:val="1002"/>
        </w:numPr>
      </w:pPr>
      <w:r>
        <w:rPr>
          <w:bCs/>
          <w:b/>
        </w:rPr>
        <w:t xml:space="preserve">phân tích Singapore</w:t>
      </w:r>
      <w:r>
        <w:t xml:space="preserve">: phân tích Singapore (tiên tiến dẫn dắt bằng đổi mới), xác nhận chữ U ngược với điểm uốn khoảng 82% (khoảng tin cậy rộng), DAI khuếch đại ở mức FSTS cao.</w:t>
      </w:r>
    </w:p>
    <w:p>
      <w:pPr>
        <w:numPr>
          <w:ilvl w:val="0"/>
          <w:numId w:val="1002"/>
        </w:numPr>
      </w:pPr>
      <w:r>
        <w:rPr>
          <w:bCs/>
          <w:b/>
        </w:rPr>
        <w:t xml:space="preserve">phân tích Trung Quốc</w:t>
      </w:r>
      <w:r>
        <w:t xml:space="preserve">: phân tích Trung Quốc 2012-2024 (thu nhập trung bình cao), xác nhận chữ U ngược ổn định theo thời gian (điểm uốn khoảng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phân tích tổng hợp</w:t>
      </w:r>
      <w:r>
        <w:t xml:space="preserve">: phân tích tổng hợp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ở tầng 2 và 8,4% ở tầng 3), điều tiết ICRV</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phân tích đa quốc gia</w:t>
      </w:r>
      <w:r>
        <w:t xml:space="preserve">: kiểm định toàn mẫu châu Á và Thái Bình Dương với</w:t>
      </w:r>
      <w:r>
        <w:t xml:space="preserve"> </w:t>
      </w:r>
      <m:oMath>
        <m:r>
          <m:t>N</m:t>
        </m:r>
        <m:r>
          <m:rPr>
            <m:sty m:val="p"/>
          </m:rPr>
          <m:t>=</m:t>
        </m:r>
        <m:r>
          <m:t>82.302</m:t>
        </m:r>
      </m:oMath>
      <w:r>
        <w:t xml:space="preserve"> </w:t>
      </w:r>
      <w:r>
        <w:t xml:space="preserve">(M2) và</w:t>
      </w:r>
      <w:r>
        <w:t xml:space="preserve"> </w:t>
      </w:r>
      <m:oMath>
        <m:r>
          <m:t>N</m:t>
        </m:r>
        <m:r>
          <m:rPr>
            <m:sty m:val="p"/>
          </m:rPr>
          <m:t>=</m:t>
        </m:r>
        <m:r>
          <m:t>36.772</m:t>
        </m:r>
      </m:oMath>
      <w:r>
        <w:t xml:space="preserve"> </w:t>
      </w:r>
      <w:r>
        <w:t xml:space="preserve">(M3-M5 có đầy đủ biến kiểm soát), điểm uốn 34,1–39,5% (M2-M5; M11 đầy đủ: điểm uốn 25,7%,</w:t>
      </w:r>
      <w:r>
        <w:t xml:space="preserve"> </w:t>
      </w:r>
      <m:oMath>
        <m:sSub>
          <m:e>
            <m:r>
              <m:t>p</m:t>
            </m:r>
          </m:e>
          <m:sub>
            <m:r>
              <m:rPr>
                <m:nor/>
                <m:sty m:val="p"/>
              </m:rPr>
              <m:t>LM</m:t>
            </m:r>
          </m:sub>
        </m:sSub>
        <m:r>
          <m:rPr>
            <m:sty m:val="p"/>
          </m:rPr>
          <m:t>=</m:t>
        </m:r>
        <m:r>
          <m:rPr>
            <m:sty m:val="p"/>
          </m:rPr>
          <m:t>,</m:t>
        </m:r>
        <m:r>
          <m:t>026</m:t>
        </m:r>
      </m:oMath>
      <w:r>
        <w:t xml:space="preserve">); dải biến thiên ICRV được xác nhận mạnh mẽ, TCI nâng mặt bằng năng suất phổ quát, DAI điều tiết đường cong có ý nghĩa trên toàn mẫu và mạnh hơn ở thể chế yếu (DAI×ICRV</w:t>
      </w:r>
      <w:r>
        <w:t xml:space="preserve"> </w:t>
      </w:r>
      <m:oMath>
        <m:r>
          <m:t>p</m:t>
        </m:r>
        <m:r>
          <m:rPr>
            <m:sty m:val="p"/>
          </m:rPr>
          <m:t>=</m:t>
        </m:r>
        <m:r>
          <m:rPr>
            <m:sty m:val="p"/>
          </m:rPr>
          <m:t>,</m:t>
        </m:r>
        <m:r>
          <m:t>049</m:t>
        </m:r>
      </m:oMath>
      <w:r>
        <w:t xml:space="preserve">).</w:t>
      </w:r>
    </w:p>
    <w:p>
      <w:pPr>
        <w:numPr>
          <w:ilvl w:val="0"/>
          <w:numId w:val="1002"/>
        </w:numPr>
      </w:pPr>
      <w:r>
        <w:rPr>
          <w:bCs/>
          <w:b/>
        </w:rPr>
        <w:t xml:space="preserve">phân tích SIDS Thái Bình Dương</w:t>
      </w:r>
      <w:r>
        <w:t xml:space="preserve">: phân tích đảo nhỏ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xác nhận FIP, quan hệ âm đơn điệu không có điểm uốn.</w:t>
      </w:r>
    </w:p>
    <w:bookmarkEnd w:id="46"/>
    <w:bookmarkStart w:id="47" w:name="phát-hiện-trung-tâm"/>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w:t>
      </w: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r>
        <w:rPr>
          <w:bCs/>
          <w:b/>
        </w:rPr>
        <w:t xml:space="preserve">”</w:t>
      </w:r>
    </w:p>
    <w:p>
      <w:pPr>
        <w:pStyle w:val="FirstParagraph"/>
      </w:pPr>
      <w:r>
        <w:t xml:space="preserve">Bằng chứng từ 238 nghiên cứu trong phân tích tổng hợp phân tích tổng hợp và 82.302 doanh nghiệp tại 45 nền kinh tế châu Á và Thái Bình Dương ở phân tích đa quốc gia đều dẫn về kết luận này. Quan hệ I-P không phải một đường cong phổ quát, mà là một</w:t>
      </w:r>
      <w:r>
        <w:t xml:space="preserve"> </w:t>
      </w:r>
      <w:r>
        <w:rPr>
          <w:bCs/>
          <w:b/>
        </w:rPr>
        <w:t xml:space="preserve">họ đường cong phụ thuộc bối cảnh</w:t>
      </w:r>
      <w:r>
        <w:t xml:space="preserve">, trong đó độ cong (concavity / biên độ) là một hàm số tăng dần theo mức độ suy giảm của chất lượng thể chế theo ICRV: thể chế càng yếu, hình chữ U ngược càng cong sâu và hình phạt sau đỉnh càng gay gắt, trong khi điểm uốn theo nhóm không đồng nhất và không dịch chuyển đơn điệu.</w:t>
      </w:r>
    </w:p>
    <w:bookmarkEnd w:id="47"/>
    <w:bookmarkStart w:id="48" w:name="ý-nghĩa-đối-với-lý-thuyết-và-thực-tiễn"/>
    <w:p>
      <w:pPr>
        <w:pStyle w:val="Heading3"/>
      </w:pPr>
      <w:r>
        <w:t xml:space="preserve">5.6.3 Ý nghĩa đối với lý thuyết và thực tiễn</w:t>
      </w:r>
    </w:p>
    <w:p>
      <w:pPr>
        <w:pStyle w:val="FirstParagraph"/>
      </w:pPr>
      <w:r>
        <w:t xml:space="preserve">Về lý thuyết, luận án đóng góp vào ba dòng nghiên cứu. Với dòng phân tích tổng hợp về quan hệ I-P, luận án phân tách cấu trúc dị biệt và cho thấy điều tiết thể chế trực tiếp ở cấp văn liệu là yếu/không bền vững, trong khi vai trò điều tiết của ICRV chỉ bộc lộ robust ở cấp doanh nghiệp qua tương tác có điều kiện. Với dòng nghiên cứu về năng lực số, luận án làm rõ rằng DAI là nguồn lực tình huống chứ không phải năng lực nền tảng. Và với dòng nghiên cứu về quốc tế hóa và các nền kinh tế đảo nhỏ, luận án đặt tên cùng cung cấp bằng chứng đầu tiên cho FIP.</w:t>
      </w:r>
    </w:p>
    <w:p>
      <w:pPr>
        <w:pStyle w:val="BodyText"/>
      </w:pPr>
      <w:r>
        <w:t xml:space="preserve">Về thực tiễn, luận án tạo cơ sở để nhà hoạch định chính sách và nhà quản trị doanh nghiệp ở từng bối cảnh ICRV hiệu chỉnh chiến lược quốc tế hóa cho phù hợp. Bài học từ Singapore hay Nhật Bản không nên áp dụng máy móc vào bối cảnh Việt Nam hay các nền kinh tế đảo nhỏ; thay vào đó, sự phụ thuộc bối cảnh cần được nhìn nhận như một nguyên lý căn bản trong hoạch định chiến lược quốc tế hóa.</w:t>
      </w:r>
    </w:p>
    <w:bookmarkEnd w:id="48"/>
    <w:bookmarkStart w:id="49" w:name="lời-kết"/>
    <w:p>
      <w:pPr>
        <w:pStyle w:val="Heading3"/>
      </w:pPr>
      <w:r>
        <w:t xml:space="preserve">5.6.4 Lời kết</w:t>
      </w:r>
    </w:p>
    <w:p>
      <w:pPr>
        <w:pStyle w:val="FirstParagraph"/>
      </w:pPr>
      <w:r>
        <w:t xml:space="preserve">Luận án này khởi đầu từ một câu hỏi đơn giản: quốc tế hóa có cải thiện hiệu quả của doanh nghiệp không? Sau tám nghiên cứu và phân tích trên hàng chục ngàn doanh nghiệp ở gần năm mươi nền kinh tế, câu trả lời là:</w:t>
      </w:r>
      <w:r>
        <w:t xml:space="preserve"> </w:t>
      </w:r>
      <w:r>
        <w:rPr>
          <w:bCs/>
          <w:b/>
        </w:rPr>
        <w:t xml:space="preserve">có, thường là như vậy, nhưng không phải lúc nào, và không phải ở mọi nơi</w:t>
      </w:r>
      <w:r>
        <w:t xml:space="preserve">. Giới hạn của lợi ích là có thực, lại phụ thuộc vào bối cảnh thể chế; và ở các nền kinh tế đảo nhỏ, quốc tế hóa bắt buộc thậm chí có thể gây thiệt hại. Nhận thức rằng quan hệ I-P là quan hệ có điều kiện theo thể chế, chứ không phải quan hệ phổ quát, chính là đóng góp cốt lõi mà luận án mang lại cho khoa học quản trị kinh doanh quốc tế.</w:t>
      </w:r>
    </w:p>
    <w:p>
      <w:r>
        <w:pict>
          <v:rect style="width:0;height:1.5pt" o:hralign="center" o:hrstd="t" o:hr="t"/>
        </w:pict>
      </w:r>
    </w:p>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2026-05-28T17:30:23Z</dcterms:created>
  <dcterms:modified xsi:type="dcterms:W3CDTF">2026-05-28T17:30:23Z</dcterms:modified>
</cp:coreProperties>
</file>

<file path=docProps/custom.xml><?xml version="1.0" encoding="utf-8"?>
<Properties xmlns="http://schemas.openxmlformats.org/officeDocument/2006/custom-properties" xmlns:vt="http://schemas.openxmlformats.org/officeDocument/2006/docPropsVTypes"/>
</file>