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ở-đầu"/>
    <w:p>
      <w:pPr>
        <w:pStyle w:val="Heading1"/>
      </w:pPr>
      <w:r>
        <w:t xml:space="preserve">MỞ ĐẦU</w:t>
      </w:r>
    </w:p>
    <w:bookmarkStart w:id="20" w:name="tính-cấp-thiết-của-nghiên-cứu"/>
    <w:p>
      <w:pPr>
        <w:pStyle w:val="Heading2"/>
      </w:pPr>
      <w:r>
        <w:t xml:space="preserve">Tính cấp thiết của nghiên cứu</w:t>
      </w:r>
    </w:p>
    <w:p>
      <w:pPr>
        <w:pStyle w:val="FirstParagraph"/>
      </w:pPr>
      <w:r>
        <w:t xml:space="preserve">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Điều đáng chú ý không phải là sự thiếu vắng bằng chứng, mà là sự phân tán của nó. Mối quan hệ giữa quốc tế hóa và hiệu quả hoạt động kinh doanh (internationalization-performance —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ba tầng của chính luận án trên 238 nghiên cứu xác nhận lại quy luật thực nghiệm này: hệ số tương quan tổng hợp chỉ vào khoảng r = 0,074, trong khi mức dị biệt còn lại sau khi đã tính tới sai số lấy mẫu vẫn ở mức I² = 62,4%.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dẫn đầu thế giới về năng lực đổi mới và kết nối toàn cầu, đến Việt Nam đang đẩy nhanh cải cách thể chế và hội nhập,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Luận án tiếp cận dải biến thiên thể chế của châu Á một cách hệ thống thông qua khung phân loại thể chế sáu nhóm được phát triển riêng cho luận án, gọi là Biến thiên chế độ bối cảnh thể chế (Institutional Context Regime Variation — ICRV).</w:t>
      </w:r>
    </w:p>
    <w:p>
      <w:pPr>
        <w:pStyle w:val="BodyText"/>
      </w:pPr>
      <w:r>
        <w:t xml:space="preserve">Cùng lúc đó, chuyển đổi số đang làm thay đổi căn bản cả cách thức doanh nghiệp quốc tế hóa lẫn cách quốc tế hóa tác động đến hiệu quả. Phần lớn bằng chứng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 Sau cùng, chính nhà quản trị cấp cao mới là tầng chuyển hóa các điều kiện vĩ mô thành quyết định chiến lược và kết quả quốc tế hóa cụ thể, đúng theo lý thuyết Bậc trên (upper echelons theory) của Hambrick và Mason (1984).</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bookmarkEnd w:id="20"/>
    <w:bookmarkStart w:id="21" w:name="mục-tiêu-nghiên-cứu"/>
    <w:p>
      <w:pPr>
        <w:pStyle w:val="Heading2"/>
      </w:pPr>
      <w:r>
        <w:t xml:space="preserve">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trọng tâm (focal moderating effect) của thể chế và năng lực số đối với mối quan hệ này, đồng thời kiểm soát đặc điểm nhà quản trị như khối kiểm soát quản trị nội sinh. Từ mục tiêu chung đó, luận án triển khai bốn mục tiêu cụ thể: tổng hợp và cập nhật bằng chứng phân tích tổng hợp về quan hệ I-P giai đoạn 1982-2026; kiểm định cơ chế cụ thể của quan hệ I-P trong các bối cảnh quốc gia khác nhau gồm Singapore, Việt Nam và Trung Quốc; mở rộng phân tích sang phạm vi đa quốc gia gồm 45 nền kinh tế châu Á và Thái Bình Dương, trong đó có nhóm các quốc đảo nhỏ Thái Bình Dương; và phân tích vai trò điều tiết trọng tâm của hai nhóm nhân tố là thể chế (đo bằng các nhóm con ICRV) và năng lực số (phân biệt rõ Chỉ số năng lực công nghệ — Technological Capability Index — TCI với Chỉ số chấp nhận số — Digital Adoption Index — DAI), với đặc điểm nhà quản trị cấp cao được đưa vào như biến kiểm soát quản trị nội sinh.</w:t>
      </w:r>
    </w:p>
    <w:bookmarkEnd w:id="21"/>
    <w:bookmarkStart w:id="22" w:name="câu-hỏi-nghiên-cứu"/>
    <w:p>
      <w:pPr>
        <w:pStyle w:val="Heading2"/>
      </w:pPr>
      <w:r>
        <w:t xml:space="preserve">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trọng tâm nào về thể chế và năng lực số, sau khi đã kiểm soát đặc điểm nhà quản trị, giải thích mức độ dị biệt cao trong mối quan hệ đó? Từ câu hỏi trung tâm này, luận án đặt ra bốn câu hỏi nghiên cứu cụ thể tương ứng với bốn mục tiêu: tác động tổng hợp và các biến điều tiết giải thích dị biệt giai đoạn 1982-2026 là gì; quan hệ I-P vận hành theo cơ chế đặc thù nào ở Singapore, Việt Nam và Trung Quốc, và cấu trúc phi tuyến đó có ổn định theo thời gian hay không; vai trò điều tiết của DAI và TCI có khái quát hóa được trên 45 nền kinh tế hay không, và hai cấu trúc này có thực sự vận hành theo cơ chế khác nhau hay không; và sau cùng, thể chế và sự phân biệt năng lực công nghệ với chấp nhận số tương tác trọng tâm như thế nào trong việc xác định điều kiện biên của mối quan hệ, sau khi đã kiểm soát đặc điểm nhà quản trị như khối kiểm soát quản trị nội sinh.</w:t>
      </w:r>
    </w:p>
    <w:bookmarkEnd w:id="22"/>
    <w:bookmarkStart w:id="23" w:name="đối-tượng-và-phạm-vi-nghiên-cứu"/>
    <w:p>
      <w:pPr>
        <w:pStyle w:val="Heading2"/>
      </w:pPr>
      <w:r>
        <w:t xml:space="preserve">Đối tượng và phạm vi nghiên cứu</w:t>
      </w:r>
    </w:p>
    <w:p>
      <w:pPr>
        <w:pStyle w:val="FirstParagraph"/>
      </w:pPr>
      <w:r>
        <w:t xml:space="preserve">Đối tượng nghiên cứu là mối quan hệ giữa quốc tế hóa và hiệu quả hoạt động kinh doanh của doanh nghiệp, cùng các nhân tố điều tiết trọng tâm gồm bối cảnh thể chế và năng lực số, trong đó đặc điểm nhà quản trị cấp cao được đưa vào như khối kiểm soát quản trị nội sinh. Đơn vị phân tích là doanh nghiệp ở cấp độ tổ chức. Quốc tế hóa được đo chủ yếu bằng tỷ lệ doanh thu xuất khẩu trên tổng doanh thu (Foreign Sales to Total Sales — FSTS), tức cường độ xuất khẩu; hiệu quả hoạt động được đo chủ yếu bằng năng suất lao động, bổ sung bằng tỷ suất lợi nhuận trên doanh thu và tăng trưởng doanh thu trong các kiểm tra độ vững.</w:t>
      </w:r>
    </w:p>
    <w:p>
      <w:pPr>
        <w:pStyle w:val="BodyText"/>
      </w:pPr>
      <w:r>
        <w:t xml:space="preserve">Phạm vi không gian chính gồm 45 nền kinh tế châu Á và Thái Bình Dương có dữ liệu trong Khảo sát Doanh nghiệp của Ngân hàng Thế giới (World Bank Enterprise Surveys — WBES), được phân loại theo sáu nhóm con ICRV: tiên tiến dẫn dắt bằng đổi mới (đại diện là Singapore, Hàn Quốc, Đài Loan), tiên tiến dẫn dắt bằng tài nguyên (các nền kinh tế vùng Vịnh), thu nhập trung bình cao (Trung Quốc, Malaysia), đang nổi (Việt Nam và ASEAN đang phát triển), cận biên (Campuchia, Nepal, Bangladesh), và quốc đảo nhỏ Thái Bình Dương (Pacific SIDS). Cách ghi</w:t>
      </w:r>
      <w:r>
        <w:t xml:space="preserve"> </w:t>
      </w:r>
      <w:r>
        <w:t xml:space="preserve">“</w:t>
      </w:r>
      <w:r>
        <w:t xml:space="preserve">45 nền kinh tế</w:t>
      </w:r>
      <w:r>
        <w:t xml:space="preserve">”</w:t>
      </w:r>
      <w:r>
        <w:t xml:space="preserve"> </w:t>
      </w:r>
      <w:r>
        <w:t xml:space="preserve">phản ánh hai phạm vi mẫu khác nhau: phân tích mô tả bao phủ 47 nền kinh tế với 101.185 doanh nghiệp, còn mô hình hồi quy đa quốc gia bao phủ 45 nền kinh tế. Phạm vi thời gian có hai mức: phân tích tổng hợp bao quát 1982-2026, còn phân tích thực nghiệm đa quốc gia sử dụng dữ liệu WBES giai đoạn 2009-2025, gồm 101.185 doanh nghiệp với 108 cặp quốc gia-năm trải qua 14 mốc khảo sát, được hòa hợp từ ba thế hệ lược đồ bảng hỏi (PICS3, chuẩn hóa, BREADY/BEE).</w:t>
      </w:r>
    </w:p>
    <w:bookmarkEnd w:id="23"/>
    <w:bookmarkStart w:id="24" w:name="những-đóng-góp-mới"/>
    <w:p>
      <w:pPr>
        <w:pStyle w:val="Heading2"/>
      </w:pPr>
      <w:r>
        <w:t xml:space="preserve">Những đóng góp mới</w:t>
      </w:r>
    </w:p>
    <w:p>
      <w:pPr>
        <w:pStyle w:val="FirstParagraph"/>
      </w:pPr>
      <w:r>
        <w:t xml:space="preserve">Về mặt lý thuyết, luận án đóng góp theo bốn hướng gắn bó với nhau. Hướng đầu tiên là tích hợp bốn lý thuyết kinh điển, gồm mô hình Uppsala, quan điểm dựa trên nguồn lực (resource-based view — RBV), lý thuyết thể chế và lý thuyết Bậc trên, vào một khung giải thích đa tầng thống nhất, được bổ sung bằng một lớp mở rộng về năng lực số. Hướng tiếp theo là tách bạch rõ ràng năng lực công nghệ với chấp nhận số, coi đây là hai cấu trúc khái niệm độc lập dựa trên những nền tảng lý thuyết khác nhau (Bharadwaj et al., 2013; Coltman et al., 2008; Verhoef et al., 2021). Luận án cũng tái định vị mô hình Uppsala trong kỷ nguyên trí tuệ nhân tạo, bằng cách mở rộng cơ chế học hỏi để bao hàm cả học hỏi tăng cường bằng dữ liệu số. Đóng góp mang tính định danh là việc phát hiện và đặt tên cho gánh nặng quốc tế hóa bắt buộc (forced internationalization penalty), một cấu trúc lý thuyết chưa từng được định danh, xác lập như điều kiện biên cực đoan của mô hình chữ U ngược: khi cả ba điều kiện cấu trúc tối thiểu (thị trường nội địa quá nhỏ, chi phí thương mại cực cao và thiếu hỗ trợ thể chế) đồng thời bị vi phạm, quan hệ I-P chuyển từ chữ U ngược sang quan hệ âm đơn điệu không có điểm uốn. Bên cạnh đó, luận án đóng góp về phương pháp qua thiết kế kết hợp tổng hợp và thực nghiệm, và qua việc phát triển khung phân loại thể chế ICRV cho 47 nền kinh tế.</w:t>
      </w:r>
    </w:p>
    <w:p>
      <w:pPr>
        <w:pStyle w:val="BodyText"/>
      </w:pPr>
      <w:r>
        <w:t xml:space="preserve">Về mặt thực tiễn, luận án cung cấp căn cứ có hệ thống cho doanh nghiệp và nhà hoạch định chính sách. Kết quả cho thấy tồn tại một ngưỡng tối ưu trong quan hệ giữa mức độ xuất khẩu và hiệu quả, và ngưỡng này thay đổi theo bối cảnh thể chế cùng năng lực số. Nhà quản trị cần nhận ra ngưỡng đó và đầu tư có chiến lược vào năng lực công nghệ thay vì chỉ chạy theo chấp nhận số ở bề mặt; nhà hoạch định chính sách có thể thấy rằng cải cách thể chế và hỗ trợ chuyển đổi số bổ trợ cho nhau, khi năng lực số làm dịu tác động tiêu cực của rào cản thể chế (Do &amp; Phan, 2026a). Tính mới còn thể hiện ở quy mô chưa từng có: 101.185 doanh nghiệp từ 45 nền kinh tế, mở rộng đáng kể so với tập 17 nền kinh tế trong Do và Phan (2026a), cùng việc lần đầu đưa các quốc đảo nhỏ Thái Bình Dương vào một phân tích thực nghiệm về quan hệ I-P trên dữ liệu WBES.</w:t>
      </w:r>
    </w:p>
    <w:p>
      <w:r>
        <w:pict>
          <v:rect style="width:0;height:1.5pt" o:hralign="center" o:hrstd="t" o:hr="t"/>
        </w:pict>
      </w:r>
    </w:p>
    <w:bookmarkEnd w:id="24"/>
    <w:bookmarkEnd w:id="25"/>
    <w:bookmarkStart w:id="31" w:name="cơ-sở-lý-luận-và-phương-pháp-nghiên-cứu"/>
    <w:p>
      <w:pPr>
        <w:pStyle w:val="Heading1"/>
      </w:pPr>
      <w:r>
        <w:t xml:space="preserve">CƠ SỞ LÝ LUẬN VÀ PHƯƠNG PHÁP NGHIÊN CỨU</w:t>
      </w:r>
    </w:p>
    <w:bookmarkStart w:id="26" w:name="các-khái-niệm-cốt-lõi"/>
    <w:p>
      <w:pPr>
        <w:pStyle w:val="Heading2"/>
      </w:pPr>
      <w:r>
        <w:t xml:space="preserve">Các khái niệm cốt lõi</w:t>
      </w:r>
    </w:p>
    <w:p>
      <w:pPr>
        <w:pStyle w:val="FirstParagraph"/>
      </w:pPr>
      <w:r>
        <w:t xml:space="preserve">Toàn bộ luận án xoay quanh năm khái niệm cốt lõi được vận hành hóa thành biến đo lường cụ thể. Quốc tế hóa doanh nghiệp được hiểu là mức độ và phạm vi tham gia của doanh nghiệp vào các hoạt động kinh tế có yếu tố quốc tế; luận án chọn FSTS và bình phương FSTS (FSTS²) làm thước đo chính. Hiệu quả hoạt động kinh doanh được đo chủ yếu bằng năng suất lao động, tính bằng logarit tự nhiên của tỷ số doanh thu trên số lao động toàn thời gian,</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một thước đo có tính so sánh liên quốc gia cao hơn các chỉ tiêu kế toán như ROA trên dữ liệu khảo sát doanh nghiệp.</w:t>
      </w:r>
    </w:p>
    <w:p>
      <w:pPr>
        <w:pStyle w:val="BodyText"/>
      </w:pPr>
      <w:r>
        <w:t xml:space="preserve">Một trong những đóng góp khái niệm trọng tâm của luận án là phân biệt rạch ròi hai cấu trúc thường bị gộp lẫn. Năng lực công nghệ (TCI) chỉ chiều sâu của công nghệ được nhập vào tổ chức, phản ánh khả năng hấp thụ, khai thác và phát triển tri thức công nghệ tiên tiến, với các chỉ báo gồm chứng nhận chất lượng quốc tế, công nghệ được cấp phép từ đối tác nước ngoài, đổi mới sản phẩm và cường độ nghiên cứu và phát triển. Về bản chất lý thuyết, TCI gần với khái niệm năng lực hấp thụ (absorptive capacity) của Cohen và Levinthal (1990) và năng lực công nghệ của Lall (1992). Chỉ số chấp nhận số (DAI) vận hành theo logic khác hẳn: nó phản ánh mức độ áp dụng các công cụ số ở giao diện bên ngoài của doanh nghiệp, gồm trang web, thư điện tử, thanh toán điện tử và bán hàng trực tuyến, tương ứng với sự hiện diện số cơ bản (Tier-1). TCI hoạt động chủ yếu như một nhân tố nâng mặt bằng hiệu quả; còn DAI có xu hướng làm thay đổi độ dốc hoặc độ cong của đường quan hệ I-P tùy theo bối cảnh. Giữ vững sự phân biệt giữa TCI và DAI xuyên suốt luận án là điều kiện tiên quyết để bảo đảm tính thuần khiết của cấu trúc khái niệm.</w:t>
      </w:r>
    </w:p>
    <w:bookmarkEnd w:id="26"/>
    <w:bookmarkStart w:id="27" w:name="các-lý-thuyết-nền-và-khung-cdcm"/>
    <w:p>
      <w:pPr>
        <w:pStyle w:val="Heading2"/>
      </w:pPr>
      <w:r>
        <w:t xml:space="preserve">Các lý thuyết nền và khung CDCM</w:t>
      </w:r>
    </w:p>
    <w:p>
      <w:pPr>
        <w:pStyle w:val="FirstParagraph"/>
      </w:pPr>
      <w:r>
        <w:t xml:space="preserve">Không một lý thuyết đơn lẻ nào đủ sức giải thích trọn vẹn quan hệ I-P, nên luận án tiếp cận bằng một khung giải thích tích hợp đa tầng, trong đó bốn lý thuyết kinh điển bổ sung cho nhau, mỗi lý thuyết soi sáng một tầng cơ chế. Mô hình Uppsala (Johanson &amp; Vahlne, 1977) lý giải chi phí học hỏi và gánh nặng người nước ngoài (liability of foreignness) cao ở giai đoạn đầu, tạo cơ sở lý luận cho dạng phi tuyến của quan hệ I-P. Quan điểm dựa trên nguồn lực (Barney, 1991) lý giải vì sao cùng một mức FSTS mà các doanh nghiệp lại đạt hiệu quả khác nhau, qua nguồn lực VRIN và năng lực động (Teece et al., 1997). Lý thuyết thể chế (North, 1990; Khanna &amp; Palepu, 2010; Peng, 2003) nhấn mạnh chi phí giao dịch và khoảng trống thể chế định hình lợi ích ròng của quốc tế hóa. Lý thuyết Bậc trên (Hambrick &amp; Mason, 1984) cho rằng quyết định chiến lược phản ánh đặc điểm nhận thức và kinh nghiệm của nhà quản trị cấp cao. Lớp mở rộng là lăng kính số (digital lens), đan cài vào bốn lý thuyết, làm sắc nét các cơ chế cũ trong điều kiện công nghệ mới (Banalieva &amp; Dhanaraj, 2019; Stallkamp &amp; Schotter, 2021; Verhoef et al., 2021).</w:t>
      </w:r>
    </w:p>
    <w:p>
      <w:pPr>
        <w:pStyle w:val="BodyText"/>
      </w:pPr>
      <w:r>
        <w:t xml:space="preserve">Trên cơ sở đó, luận án đề xuất khung CDCM (Context-Contingent Digital-and-Capability Model — Mô hình năng lực và chấp nhận số phụ thuộc bối cảnh), một khung lý thuyết tích hợp đa tầng kết hợp bốn thành phần: bối cảnh thể chế ở tầng vĩ mô, được vận hành hóa bằng ICRV; năng lực doanh nghiệp ở tầng tổ chức, với TCI và DAI tách riêng; đặc điểm nhà quản trị cấp cao ở tầng cá nhân; và lớp mở rộng năng lực số. Trong khung này, FSTS là biến độc lập chính và năng suất lao động là biến phụ thuộc.</w:t>
      </w:r>
    </w:p>
    <w:bookmarkEnd w:id="27"/>
    <w:bookmarkStart w:id="28" w:name="khung-phân-tích-icrv"/>
    <w:p>
      <w:pPr>
        <w:pStyle w:val="Heading2"/>
      </w:pPr>
      <w:r>
        <w:t xml:space="preserve">Khung phân tích ICRV</w:t>
      </w:r>
    </w:p>
    <w:p>
      <w:pPr>
        <w:pStyle w:val="FirstParagraph"/>
      </w:pPr>
      <w:r>
        <w:t xml:space="preserve">Khung Biến thiên chế độ bối cảnh thể chế (Institutional Context Regime Variation — ICRV) phân loại các nền kinh tế thành sáu nhóm con, dựa trên tổ hợp ba căn cứ: bộ chỉ số quản trị thế giới (World Governance Indicators — WGI) của Kaufmann et al. (2011), mức độ phát triển kinh tế đo bằng thu nhập bình quân đầu người, và đặc trưng cấu trúc thể chế. Về khái niệm, ICRV sắp xếp các nền kinh tế theo hai chiều phân biệt mà các phân loại trước thường gộp chung: năng lực thể chế và mức độ tổn thương nguồn lực. Sáu nhóm gồm Nhóm I tiên tiến dẫn dắt bằng đổi mới (Singapore, Hàn Quốc, Đài Loan), Nhóm II tiên tiến dẫn dắt bằng tài nguyên (các nền kinh tế vùng Vịnh), Nhóm III thu nhập trung bình cao (Trung Quốc, Malaysia, Thái Lan), Nhóm IV chuyển đổi thu nhập trung bình thấp hay đang nổi (Việt Nam, Ấn Độ, Indonesia), Nhóm V cận biên (Bangladesh, Campuchia, Lào), và Nhóm VI đảo nhỏ Thái Bình Dương (Fiji, Tonga, Vanuatu).</w:t>
      </w:r>
    </w:p>
    <w:p>
      <w:pPr>
        <w:pStyle w:val="BodyText"/>
      </w:pPr>
      <w:r>
        <w:t xml:space="preserve">ICRV không chỉ là biến phân loại mà còn là một dải biến thiên thể chế liên tục, điều tiết quan hệ I-P qua hai kênh đan xen. Kênh thứ nhất là thay đổi độ cong (biên độ) của đường cong: ở môi trường thể chế yếu, chi phí giao dịch xuyên biên giới cao làm độ cong của hình chữ U ngược sâu hơn (hình phạt sau đỉnh gay gắt hơn), còn ở môi trường thể chế mạnh đường cong phẳng hơn, gần như tuyến tính; điểm uốn không dịch chuyển đơn điệu mà phân tán quanh mức ~40%. Kênh thứ hai là thay thế số cho thể chế (digital-for-institutional substitution): nơi khoảng trống thể chế ngự trị, công cụ số trở thành một sự thay thế đáng kể cho các cơ chế chính thức còn thiếu, qua đó vai trò định hình đường cong của DAI mạnh hơn ở nhóm thể chế yếu. Nhóm VI giữ vai trò đặc biệt như một điều kiện biên cực trị, nơi ba điều kiện cấu trúc cơ bản của chữ U ngược có thể cùng bị vi phạm.</w:t>
      </w:r>
    </w:p>
    <w:bookmarkEnd w:id="28"/>
    <w:bookmarkStart w:id="29" w:name="hệ-giả-thuyết"/>
    <w:p>
      <w:pPr>
        <w:pStyle w:val="Heading2"/>
      </w:pPr>
      <w:r>
        <w:t xml:space="preserve">Hệ giả thuyết</w:t>
      </w:r>
    </w:p>
    <w:p>
      <w:pPr>
        <w:pStyle w:val="FirstParagraph"/>
      </w:pPr>
      <w:r>
        <w:t xml:space="preserve">Trên nền tảng CDCM, luận án phát triển sáu giả thuyết chính cùng một điều kiện biên. H1 cho rằng quan hệ I-P có dạng phi tuyến chữ U ngược, đạt một điểm uốn tối ưu trước khi chi phí điều phối vượt qua lợi ích. Điều kiện biên H1b cho rằng tại các nền kinh tế đảo nhỏ Thái Bình Dương (ICRV Nhóm VI), quan hệ giữa FSTS và năng suất lao động là âm đơn điệu, không có điểm uốn, phản ánh gánh nặng quốc tế hóa bắt buộc. H2 cho rằng TCI làm gia tăng tác động tích cực của quốc tế hóa, chủ yếu bằng cách nâng mặt bằng hiệu quả. H3 cho rằng DAI điều tiết quan hệ I-P bằng cách làm thay đổi độ dốc và độ cong, rõ nhất ở mức cường độ xuất khẩu cao, theo cơ chế khác với TCI. H4 (kiểm soát quản trị nội sinh) cho rằng kinh nghiệm, học vấn và sự hiện diện của nhà quản trị nữ nâng mặt bằng hiệu quả và được đưa vào như nhóm biến kiểm soát quản trị nội sinh, không phải nhân tố điều tiết trọng tâm định hình độ cong của đường quan hệ I-P; ký hiệu H4 được giữ nguyên để tương thích với các bản thảo đồng hành (phân tích Việt Nam, Singapore và Trung Quốc). H5 cho rằng chế độ thể chế ICRV điều tiết quan hệ I-P, với điểm uốn sớm hơn ở nền kinh tế thể chế mạnh; vai trò định hình đường cong của DAI mạnh hơn ở chế độ thể chế yếu. H6 cho rằng hình dạng phi tuyến có thể thay đổi theo thời gian ở các nền kinh tế chuyển đổi nhanh.</w:t>
      </w:r>
    </w:p>
    <w:bookmarkEnd w:id="29"/>
    <w:bookmarkStart w:id="30" w:name="phương-pháp-nghiên-cứu"/>
    <w:p>
      <w:pPr>
        <w:pStyle w:val="Heading2"/>
      </w:pPr>
      <w:r>
        <w:t xml:space="preserve">Phương pháp nghiên cứu</w:t>
      </w:r>
    </w:p>
    <w:p>
      <w:pPr>
        <w:pStyle w:val="FirstParagraph"/>
      </w:pPr>
      <w:r>
        <w:t xml:space="preserve">Luận án sử dụng thiết kế kết hợp tổng hợp và thực nghiệm (mixed synthesis-empirical design) gồm hai giai đoạn bổ sung. Giai đoạn thứ nhất là phân tích tổng hợp để trả lời câu hỏi đầu tiên; giai đoạn thứ hai là phân tích thực nghiệm doanh nghiệp đa quốc gia. Hai giai đoạn đối thoại hai chiều: phân tích tổng hợp dựng nên bức tranh hệ thống và gợi ý các yếu tố điều tiết cần kiểm định, còn phân tích thực nghiệm cung cấp bằng chứng trực tiếp về bối cảnh châu Á và Thái Bình Dương (Borenstein et al., 2009; Hunter &amp; Schmidt, 2004).</w:t>
      </w:r>
    </w:p>
    <w:p>
      <w:pPr>
        <w:pStyle w:val="BodyText"/>
      </w:pPr>
      <w:r>
        <w:t xml:space="preserve">Giai đoạn phân tích tổng hợp mở rộng phạm vi từ 1982-2026, sử dụng mô hình hiệu ứng ngẫu nhiên (random effects) với phép biến đổi Fisher’s z theo giao thức PRISMA 2020, phân tích nhóm con theo chế độ thể chế, và kiểm định sai lệch xuất bản (publication bias) qua Egger và Begg-Mazumdar. Tập nghiên cứu đạt k = 238 nghiên cứu với K = 288 mức độ ảnh hưởng, mở rộng từ bản nền ICBEF (k = 113). Giai đoạn thực nghiệm dùng nền tảng dữ liệu WBES, bộ dữ liệu doanh nghiệp chuẩn hóa lớn nhất cho các nền kinh tế đang phát triển và chuyển đổi. Biến phụ thuộc chính là năng suất lao động</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biến độc lập chính là FSTS, với FSTS², FSTS³ để kiểm định phi tuyến. Luận án phân biệt hai cấu trúc số theo nguyên tắc không chồng lấp (non-overlapping): TCI tổng hợp từ cấp phép công nghệ nước ngoài, nghiên cứu và phát triển, đổi mới sản phẩm và chứng nhận chất lượng; DAI tổng hợp từ trang web, thư điện tử, bán hàng trực tuyến (DAI mỏng) hoặc bổ sung thanh toán điện tử và kết nối nhà cung ứng số (DAI giàu). Sự phân tách này được kiểm tra theo bốn tiêu chí cấu trúc hình thành (formative composite) của Coltman et al. (2008).</w:t>
      </w:r>
    </w:p>
    <w:p>
      <w:pPr>
        <w:pStyle w:val="BodyText"/>
      </w:pPr>
      <w:r>
        <w:t xml:space="preserve">Mô hình thực nghiệm dùng hồi quy bình phương tối thiểu thông thường (OLS)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trong khi kiểm định Paternoster so sánh điểm uốn giữa các chế độ thể chế và giữa các giai đoạn thời gian. Toàn bộ chương trình kiểm định được tổ chức thành các nghiên cứu thành phần: phân tích Việt Nam (Việt Nam, ba sóng 2009/2015/2023), phân tích Singapore (Singapore, 2023), phân tích Trung Quốc (Trung Quốc, 2012 và 2024), phân tích tổng hợp (phân tích tổng hợp ba tầng), phân tích đa quốc gia (đa quốc gia 45 nền kinh tế), và phân tích SIDS Thái Bình Dương (đảo nhỏ Thái Bình Dương). Chiến lược kiểm định độ vững gồm thay đổi thước đo biến phụ thuộc và biến độc lập, mẫu phụ theo nhóm con ICRV, winsorization xử lý giá trị ngoại lai, kiểm định đa cộng tuyến (VIF) và phương sai thay đổi, cùng phân tích bỏ một nghiên cứu (leave-one-out) và cắt và bù (trim-and-fill) cho phân tích tổng hợp.</w:t>
      </w:r>
    </w:p>
    <w:p>
      <w:r>
        <w:pict>
          <v:rect style="width:0;height:1.5pt" o:hralign="center" o:hrstd="t" o:hr="t"/>
        </w:pict>
      </w:r>
    </w:p>
    <w:bookmarkEnd w:id="30"/>
    <w:bookmarkEnd w:id="31"/>
    <w:bookmarkStart w:id="38" w:name="kết-quả-nghiên-cứu-và-thảo-luận"/>
    <w:p>
      <w:pPr>
        <w:pStyle w:val="Heading1"/>
      </w:pPr>
      <w:r>
        <w:t xml:space="preserve">KẾT QUẢ NGHIÊN CỨU VÀ THẢO LUẬN</w:t>
      </w:r>
    </w:p>
    <w:bookmarkStart w:id="32" w:name="bức-tranh-mô-tả-tổng-thể"/>
    <w:p>
      <w:pPr>
        <w:pStyle w:val="Heading2"/>
      </w:pPr>
      <w:r>
        <w:t xml:space="preserve">Bức tranh mô tả tổng thể</w:t>
      </w:r>
    </w:p>
    <w:p>
      <w:pPr>
        <w:pStyle w:val="FirstParagraph"/>
      </w:pPr>
      <w:r>
        <w:t xml:space="preserve">Phân tích mô tả trên nhóm dữ liệu gộp gồm 101.185 doanh nghiệp thuộc 47 nền kinh tế giai đoạn 2009-2025 cho thấy hiệu quả hoạt động phân tán mạnh và không hội tụ về một mức chung. Năng suất lao động có độ lệch chuẩn dao động từ 0,49 ở nhóm tiên tiến dẫn dắt bằng tài nguyên đến 1,36 ở nhóm cận biên. Phát hiện mô tả quan trọng nhất nằm ở sự phân biệt trong nội bộ nhóm tiên tiến: tỷ số phân tán giữa nhóm dẫn dắt bằng đổi mới (sd ≈ 1,03) và nhóm dẫn dắt bằng tài nguyên (sd ≈ 0,49) đạt xấp xỉ 2,1 lần, phản ánh hai cơ chế tăng trưởng hoàn toàn khác nhau và giải thích vì sao việc gộp hai loại nền kinh tế tiên tiến vào một nhóm sẽ che khuất cơ chế phân biệt quan trọng. Trung vị FSTS bằng 0% ở tất cả các nhóm, chỉ 15-23% doanh nghiệp tham gia xuất khẩu, cho thấy sự phân cực mạnh trong tham gia xuất khẩu. Đáng chú ý là hiện tượng nhảy vọt công nghệ số (digital leapfrog) ở nhóm đảo nhỏ, với tỷ lệ trang web 58,9% vượt cả nhóm mới nổi 49,2% dù thu nhập thấp hơn: nhóm đảo nhỏ có DAI cao nhưng TCI thấp nhất, củng cố lập luận về sự phân biệt giữa DAI và TCI.</w:t>
      </w:r>
    </w:p>
    <w:bookmarkEnd w:id="32"/>
    <w:bookmarkStart w:id="33" w:name="X57d1ba481f3adc8a8a0d01f63f1baae31e6de2b"/>
    <w:p>
      <w:pPr>
        <w:pStyle w:val="Heading2"/>
      </w:pPr>
      <w:r>
        <w:t xml:space="preserve">Phân tích tổng hợp ba tầng (phân tích tổng hợp)</w:t>
      </w:r>
    </w:p>
    <w:p>
      <w:pPr>
        <w:pStyle w:val="FirstParagraph"/>
      </w:pPr>
      <w:r>
        <w:t xml:space="preserve">Phân tích tổng hợp ba tầng trên k = 238 nghiên cứu và K = 288 mức độ ảnh hưởng cho hiệu ứng gộp</w:t>
      </w:r>
      <w:r>
        <w:t xml:space="preserve"> </w:t>
      </w:r>
      <m:oMath>
        <m:sSub>
          <m:e>
            <m:acc>
              <m:accPr>
                <m:chr m:val="̂"/>
              </m:accPr>
              <m:e>
                <m:r>
                  <m:t>r</m:t>
                </m:r>
              </m:e>
            </m:acc>
          </m:e>
          <m:sub>
            <m:r>
              <m:t>3</m:t>
            </m:r>
            <m:r>
              <m:t>L</m:t>
            </m:r>
          </m:sub>
        </m:sSub>
        <m:r>
          <m:rPr>
            <m:sty m:val="p"/>
          </m:rPr>
          <m:t>=</m:t>
        </m:r>
        <m:r>
          <m:t>0</m:t>
        </m:r>
        <m:r>
          <m:rPr>
            <m:sty m:val="p"/>
          </m:rPr>
          <m:t>,</m:t>
        </m:r>
        <m:r>
          <m:t>074</m:t>
        </m:r>
      </m:oMath>
      <w:r>
        <w:t xml:space="preserve"> </w:t>
      </w:r>
      <w:r>
        <w:t xml:space="preserve">(95% CI [0,060; 0,088], p &lt; ,001), hoàn toàn nhất quán với mức tham chiếu r = 0,07 từ phân tích tổng hợp đã công bố tại hội nghị ICBEF của Đỗ và Phan (2024) với k = 113. Kết quả quan trọng nhất không nằm ở giá trị điểm của</w:t>
      </w:r>
      <w:r>
        <w:t xml:space="preserve"> </w:t>
      </w:r>
      <m:oMath>
        <m:acc>
          <m:accPr>
            <m:chr m:val="̂"/>
          </m:accPr>
          <m:e>
            <m:r>
              <m:t>r</m:t>
            </m:r>
          </m:e>
        </m:acc>
      </m:oMath>
      <w:r>
        <w:t xml:space="preserve"> </w:t>
      </w:r>
      <w:r>
        <w:t xml:space="preserve">mà ở cấu trúc dị biệt. Tổng I² = 62,4% được phân tách thành 54,1% ở tầng 2 (trong nghiên cứu) và 8,4% ở tầng 3 (giữa các nghiên cứu), tức dị biệt tầng 2 lớn hơn tầng 3 khoảng sáu lần. Phát hiện này hàm ý rằng sự thiếu nhất quán trong tài liệu I-P chủ yếu là vấn đề đo lường và vận hành hóa khái niệm bên trong từng nghiên cứu, chứ không phải bằng chứng về một sự thiếu nhất quán thực sự trong quan hệ nhân quả. Kiểm định điều tiết theo chế độ thể chế ICRV có ý nghĩa trên toàn mẫu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nhưng</w:t>
      </w:r>
      <w:r>
        <w:t xml:space="preserve"> </w:t>
      </w:r>
      <w:r>
        <w:rPr>
          <w:bCs/>
          <w:b/>
        </w:rPr>
        <w:t xml:space="preserve">không bền vững</w:t>
      </w:r>
      <w:r>
        <w:t xml:space="preserve">: bỏ ô Frontier thưa (k = 3) thì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cho thấy ở cấp văn liệu điều tiết thể chế trực tiếp là yếu — tính ngữ cảnh thể chế được xác lập robust ở cấp doanh nghiệp qua tương tác có điều kiện (xem phân tích đa quốc gia). Phân tích sai lệch xuất bản qua Begg-Mazumdar có ý nghĩa (</w:t>
      </w:r>
      <m:oMath>
        <m:r>
          <m:t>τ</m:t>
        </m:r>
        <m:r>
          <m:rPr>
            <m:sty m:val="p"/>
          </m:rPr>
          <m:t>=</m:t>
        </m:r>
        <m:r>
          <m:rPr>
            <m:sty m:val="p"/>
          </m:rPr>
          <m:t>−</m:t>
        </m:r>
        <m:r>
          <m:t>0</m:t>
        </m:r>
        <m:r>
          <m:rPr>
            <m:sty m:val="p"/>
          </m:rPr>
          <m:t>,</m:t>
        </m:r>
        <m:r>
          <m:t>134</m:t>
        </m:r>
      </m:oMath>
      <w:r>
        <w:t xml:space="preserve">,</w:t>
      </w:r>
      <w:r>
        <w:t xml:space="preserve"> </w:t>
      </w:r>
      <m:oMath>
        <m:r>
          <m:t>p</m:t>
        </m:r>
        <m:r>
          <m:rPr>
            <m:sty m:val="p"/>
          </m:rPr>
          <m:t>=</m:t>
        </m:r>
        <m:r>
          <m:rPr>
            <m:sty m:val="p"/>
          </m:rPr>
          <m:t>,</m:t>
        </m:r>
        <m:r>
          <m:t>0007</m:t>
        </m:r>
      </m:oMath>
      <w:r>
        <w:t xml:space="preserve">); phương pháp cắt và bù nội suy thêm k = 58 nghiên cứu và điều chỉnh ước lượng từ r = 0,074 xuống</w:t>
      </w:r>
      <w:r>
        <w:t xml:space="preserve"> </w:t>
      </w:r>
      <m:oMath>
        <m:sSub>
          <m:e>
            <m:r>
              <m:t>r</m:t>
            </m:r>
          </m:e>
          <m:sub>
            <m:r>
              <m:rPr>
                <m:nor/>
                <m:sty m:val="p"/>
              </m:rPr>
              <m:t>adj</m:t>
            </m:r>
          </m:sub>
        </m:sSub>
        <m:r>
          <m:rPr>
            <m:sty m:val="p"/>
          </m:rPr>
          <m:t>=</m:t>
        </m:r>
        <m:r>
          <m:t>0</m:t>
        </m:r>
        <m:r>
          <m:rPr>
            <m:sty m:val="p"/>
          </m:rPr>
          <m:t>,</m:t>
        </m:r>
        <m:r>
          <m:t>035</m:t>
        </m:r>
      </m:oMath>
      <w:r>
        <w:t xml:space="preserve">, vẫn dương nhưng bị suy giảm. Chỉ số an toàn Fail-safe N = 45.848 vượt xa ngưỡng tới hạn.</w:t>
      </w:r>
    </w:p>
    <w:bookmarkEnd w:id="33"/>
    <w:bookmarkStart w:id="34" w:name="X2211c9df96706adf979c72912d0dfbc1dae7ce1"/>
    <w:p>
      <w:pPr>
        <w:pStyle w:val="Heading2"/>
      </w:pPr>
      <w:r>
        <w:t xml:space="preserve">Kết quả đa quốc gia trên 45 nền kinh tế (phân tích đa quốc gia 45 nền kinh tế)</w:t>
      </w:r>
    </w:p>
    <w:p>
      <w:pPr>
        <w:pStyle w:val="FirstParagraph"/>
      </w:pPr>
      <w:r>
        <w:t xml:space="preserve">Phân tích phân tích đa quốc gia là kiểm định quy mô lớn nhất, trải dài 45 nền kinh tế và 98 đợt khảo sát quốc gia-năm. Với N = 82.302 quan sát, mô hình bậc hai cho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chữ U ngược; cả bốn điều kiện hình thức của Haans và cộng sự (2016) đều thỏa mãn, được xác nhận bằng kiểm định Lind-Mehlum (joint p &lt; ,001). Mô hình M5 với hiệu ứng cố định quốc gia và năm (adjR² = ,671) cho điểm uốn 39,5% FSTS; điểm uốn dao động nhất quán trong dải hẹp 34,1–39,5% qua các đặc tả nền M2, M3 và M5 và được xác nhận lại trong mô hình ba chiều đầy đủ M11 (TP = 25,7%,</w:t>
      </w:r>
      <w:r>
        <w:t xml:space="preserve"> </w:t>
      </w:r>
      <m:oMath>
        <m:sSub>
          <m:e>
            <m:r>
              <m:t>p</m:t>
            </m:r>
          </m:e>
          <m:sub>
            <m:r>
              <m:rPr>
                <m:nor/>
                <m:sty m:val="p"/>
              </m:rPr>
              <m:t>LM</m:t>
            </m:r>
          </m:sub>
        </m:sSub>
        <m:r>
          <m:rPr>
            <m:sty m:val="p"/>
          </m:rPr>
          <m:t>=</m:t>
        </m:r>
        <m:r>
          <m:rPr>
            <m:sty m:val="p"/>
          </m:rPr>
          <m:t>,</m:t>
        </m:r>
        <m:r>
          <m:t>026</m:t>
        </m:r>
      </m:oMath>
      <w:r>
        <w:t xml:space="preserve">, N = 28.500), với điểm uốn tổng thể vào khoảng 37% FSTS.</w:t>
      </w:r>
    </w:p>
    <w:p>
      <w:pPr>
        <w:pStyle w:val="BodyText"/>
      </w:pPr>
      <w:r>
        <w:t xml:space="preserve">Kết quả quan trọng nhất của phân tích đa quốc gia là xác nhận vai trò điều tiết của ICRV. Hai số hạng tương tác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FSTS²×ICRV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cho thấy chế độ thể chế chi phối độ cong (concavity / biên độ) của hình chữ U ngược chứ không phải một gradient điểm uốn đơn điệu: độ cong sâu dần khi chất lượng thể chế suy giảm, làm hình phạt sau đỉnh gay gắt hơn ở các chế độ thể chế yếu (cận biên, đảo nhỏ) và phẳng dần về gần tuyến tính ở các chế độ tiên tiến. Điểm uốn theo nhóm là không đồng nhất (khoảng 16–50% FSTS), cụm quanh ~40% và không dịch chuyển đơn điệu. Kết quả tương tác có điều kiện này</w:t>
      </w:r>
      <w:r>
        <w:t xml:space="preserve"> </w:t>
      </w:r>
      <w:r>
        <w:rPr>
          <w:bCs/>
          <w:b/>
        </w:rPr>
        <w:t xml:space="preserve">bổ sung</w:t>
      </w:r>
      <w:r>
        <w:t xml:space="preserve"> </w:t>
      </w:r>
      <w:r>
        <w:t xml:space="preserve">cho phân tích tổng hợp: trong khi omnibus ICRV ở cấp văn liệu không bền vững (bỏ ô Frontier → không có ý nghĩa), đặc tả tương tác ở cấp doanh nghiệp làm lộ ra vai trò điều tiết robust của chế độ thể chế mà việc gộp chủ hiệu ứng phân nhóm không phát hiện được. Về năng lực doanh nghiệp, TCI dương và có ý nghĩa trên toàn mẫu (hiệu ứng chính nâng năng suất khoảng 41% trên mỗi đơn vị độ lệch chuẩn), nhưng hai tương tác FSTS×TCI và FSTS²×TCI không đạt ý nghĩa, nên H2 chỉ được xác nhận một phần. DAI cho khuôn mẫu giàu sắc thái hơn: hiệu ứng trực tiếp dương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và cả hai tương tác điều tiết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m:t>
        </m:r>
        <m:r>
          <m:rPr>
            <m:sty m:val="p"/>
          </m:rPr>
          <m:t>,</m:t>
        </m:r>
        <m:r>
          <m:t>002</m:t>
        </m:r>
      </m:oMath>
      <w:r>
        <w:t xml:space="preserve">), cho thấy doanh nghiệp DAI cao có đường cong I-P phẳng hơn. Tương tác DAI×ICRV có ý nghĩa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môi trường thể chế yếu, đúng theo cơ chế thay thế số cho thể chế. Đặc điểm nhà quản trị cho thấy kinh nghiệm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lợi thế năng suất khoảng 22%) đều nâng hiệu quả, nên H4 được xác nhận một phần ở dạng nâng mặt bằng.</w:t>
      </w:r>
    </w:p>
    <w:bookmarkEnd w:id="34"/>
    <w:bookmarkStart w:id="35" w:name="kết-quả-nghiên-cứu-đơn-quốc-gia"/>
    <w:p>
      <w:pPr>
        <w:pStyle w:val="Heading2"/>
      </w:pPr>
      <w:r>
        <w:t xml:space="preserve">Kết quả nghiên cứu đơn quốc gia</w:t>
      </w:r>
    </w:p>
    <w:p>
      <w:pPr>
        <w:pStyle w:val="FirstParagraph"/>
      </w:pPr>
      <w:r>
        <w:t xml:space="preserve">Ba nghiên cứu đơn quốc gia định vị quan hệ I-P tại ba vị trí khác nhau trên thang ICRV. Tại Việt Nam (phân tích Việt Nam, Nhóm IV), phân tích trên ba đợt khảo sát với mẫu gộp N = 2.958 xác nhận dạng chữ U ngược, với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kiểm định Lind-Mehlum bác bỏ tính đơn điệu ở mức p &lt; ,001. Điểm uốn cụm quanh 39-46% FSTS: 46,2% (2009), 39,3% (2015), 41,6% (2023), và 39,7% trên mẫu gộp; kiểm định Paternoster xác nhận điểm uốn dịch chuyển đáng kể từ 46,2% xuống 39,3% giữa 2009 và 2015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TCI là yếu tố điều tiết dương có ý nghĩa (mẫu gộp</w:t>
      </w:r>
      <w:r>
        <w:t xml:space="preserve">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tương tác bậc hai FSTS</w:t>
      </w:r>
      <m:oMath>
        <m:sSub>
          <m:e>
            <m:r>
              <m:t>​</m:t>
            </m:r>
          </m:e>
          <m:sub>
            <m:r>
              <m:t>c</m:t>
            </m:r>
          </m:sub>
        </m:sSub>
      </m:oMath>
      <w:r>
        <w:t xml:space="preserve">×TCI</w:t>
      </w:r>
      <w:r>
        <w:t xml:space="preserve"> </w:t>
      </w:r>
      <m:oMath>
        <m:r>
          <m:rPr>
            <m:sty m:val="p"/>
          </m:rPr>
          <m:t>=</m:t>
        </m:r>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trong khi DAI không đạt ý nghĩa trên mẫu gộp do hạn chế đo lường Tier-1.</w:t>
      </w:r>
    </w:p>
    <w:p>
      <w:pPr>
        <w:pStyle w:val="BodyText"/>
      </w:pPr>
      <w:r>
        <w:t xml:space="preserve">Tại Singapore (phân tích Singapore, Nhóm I), phân tích trên N = 623 doanh nghiệp cho số hạng bậc nhất dương (</w:t>
      </w:r>
      <m:oMath>
        <m:r>
          <m:t>β</m:t>
        </m:r>
        <m:r>
          <m:rPr>
            <m:sty m:val="p"/>
          </m:rPr>
          <m:t>=</m:t>
        </m:r>
        <m:r>
          <m:rPr>
            <m:sty m:val="p"/>
          </m:rPr>
          <m:t>+</m:t>
        </m:r>
        <m:r>
          <m:t>2</m:t>
        </m:r>
        <m:r>
          <m:rPr>
            <m:sty m:val="p"/>
          </m:rPr>
          <m:t>,</m:t>
        </m:r>
        <m:r>
          <m:t>652</m:t>
        </m:r>
      </m:oMath>
      <w:r>
        <w:t xml:space="preserve">,</w:t>
      </w:r>
      <w:r>
        <w:t xml:space="preserve"> </w:t>
      </w:r>
      <m:oMath>
        <m:r>
          <m:t>p</m:t>
        </m:r>
        <m:r>
          <m:rPr>
            <m:sty m:val="p"/>
          </m:rPr>
          <m:t>&lt;</m:t>
        </m:r>
        <m:r>
          <m:rPr>
            <m:sty m:val="p"/>
          </m:rPr>
          <m:t>,</m:t>
        </m:r>
        <m:r>
          <m:t>001</m:t>
        </m:r>
      </m:oMath>
      <w:r>
        <w:t xml:space="preserve">) và bậc hai âm cận ngưỡng (</w:t>
      </w:r>
      <m:oMath>
        <m:r>
          <m:t>β</m:t>
        </m:r>
        <m:r>
          <m:rPr>
            <m:sty m:val="p"/>
          </m:rPr>
          <m:t>=</m:t>
        </m:r>
        <m:r>
          <m:rPr>
            <m:sty m:val="p"/>
          </m:rPr>
          <m:t>−</m:t>
        </m:r>
        <m:r>
          <m:t>1</m:t>
        </m:r>
        <m:r>
          <m:rPr>
            <m:sty m:val="p"/>
          </m:rPr>
          <m:t>,</m:t>
        </m:r>
        <m:r>
          <m:t>705</m:t>
        </m:r>
      </m:oMath>
      <w:r>
        <w:t xml:space="preserve">,</w:t>
      </w:r>
      <w:r>
        <w:t xml:space="preserve"> </w:t>
      </w:r>
      <m:oMath>
        <m:r>
          <m:t>p</m:t>
        </m:r>
        <m:r>
          <m:rPr>
            <m:sty m:val="p"/>
          </m:rPr>
          <m:t>=</m:t>
        </m:r>
        <m:r>
          <m:rPr>
            <m:sty m:val="p"/>
          </m:rPr>
          <m:t>,</m:t>
        </m:r>
        <m:r>
          <m:t>068</m:t>
        </m:r>
      </m:oMath>
      <w:r>
        <w:t xml:space="preserve">), với điểm uốn hàm ý rất muộn khoảng 82% FSTS, cao nhất trong tất cả các bối cảnh. Khoảng tin cậy bootstrap của điểm uốn rất rộng [53%, 253%] và kiểm định Lind-Mehlum không xác nhận chữ U ngược ở mức thông thường (</w:t>
      </w:r>
      <m:oMath>
        <m:r>
          <m:t>p</m:t>
        </m:r>
        <m:r>
          <m:rPr>
            <m:sty m:val="p"/>
          </m:rPr>
          <m:t>=</m:t>
        </m:r>
        <m:r>
          <m:rPr>
            <m:sty m:val="p"/>
          </m:rPr>
          <m:t>,</m:t>
        </m:r>
        <m:r>
          <m:t>303</m:t>
        </m:r>
      </m:oMath>
      <w:r>
        <w:t xml:space="preserve">), nên quan hệ được đọc là chủ yếu dương đơn điệu. Phát hiện trọng tâm là vai trò của DAI dưới dạng tương tác bậc hai dương mạnh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được giữ nguyên trong mẫu chỉ gồm doanh nghiệp xuất khẩu (</w:t>
      </w:r>
      <m:oMath>
        <m:r>
          <m:t>β</m:t>
        </m:r>
        <m:r>
          <m:rPr>
            <m:sty m:val="p"/>
          </m:rPr>
          <m:t>=</m:t>
        </m:r>
        <m:r>
          <m:rPr>
            <m:sty m:val="p"/>
          </m:rPr>
          <m:t>+</m:t>
        </m:r>
        <m:r>
          <m:t>2</m:t>
        </m:r>
        <m:r>
          <m:rPr>
            <m:sty m:val="p"/>
          </m:rPr>
          <m:t>,</m:t>
        </m:r>
        <m:r>
          <m:t>821</m:t>
        </m:r>
      </m:oMath>
      <w:r>
        <w:t xml:space="preserve">,</w:t>
      </w:r>
      <w:r>
        <w:t xml:space="preserve"> </w:t>
      </w:r>
      <m:oMath>
        <m:r>
          <m:t>p</m:t>
        </m:r>
        <m:r>
          <m:rPr>
            <m:sty m:val="p"/>
          </m:rPr>
          <m:t>=</m:t>
        </m:r>
        <m:r>
          <m:rPr>
            <m:sty m:val="p"/>
          </m:rPr>
          <m:t>,</m:t>
        </m:r>
        <m:r>
          <m:t>003</m:t>
        </m:r>
      </m:oMath>
      <w:r>
        <w:t xml:space="preserve">): DAI là một nguồn lực tình huống, một bổ trợ tạo quy mô chỉ hiện rõ ở đuôi xuất khẩu cao.</w:t>
      </w:r>
    </w:p>
    <w:p>
      <w:pPr>
        <w:pStyle w:val="BodyText"/>
      </w:pPr>
      <w:r>
        <w:t xml:space="preserve">Tại Trung Quốc (phân tích Trung Quốc, Nhóm III), phân tích hai giai đoạn (N = 2.610 năm 2012; N = 1.934 năm 2024; gộp N = 4.544) xác nhận dạng chữ U ngược ổn định. Điểm uốn được ước lượng tại 49,37% FSTS năm 2012, 47,19% năm 2024, và 48,78% trên mẫu gộp. Kiểm định Paternoster về sự khác biệt hệ số giữa hai đợt không có ý nghĩa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xác nhận điểm uốn ổn định qua thập kỷ chuyển đổi số. TCI và DAI đều nâng mặt bằng năng suất nhưng không điều tiết đường cong, có thể do phương sai năng lực bị nén lại trong mẫu doanh nghiệp xuất khẩu tương đối đồng nhất.</w:t>
      </w:r>
    </w:p>
    <w:bookmarkEnd w:id="35"/>
    <w:bookmarkStart w:id="36" w:name="X86ff96ba0055a141dbd4df0fa2d82b1439e4644"/>
    <w:p>
      <w:pPr>
        <w:pStyle w:val="Heading2"/>
      </w:pPr>
      <w:r>
        <w:t xml:space="preserve">Trường hợp biên: đảo nhỏ Thái Bình Dương (SIDS)</w:t>
      </w:r>
    </w:p>
    <w:p>
      <w:pPr>
        <w:pStyle w:val="FirstParagraph"/>
      </w:pPr>
      <w:r>
        <w:t xml:space="preserve">Phân tích phân tích SIDS Thái Bình Dương tập trung vào chín nền kinh tế đảo nhỏ Thái Bình Dương (Nhóm VI) với tổng N = 1.469 doanh nghiệp, trong đó chỉ 187 doanh nghiệp xuất khẩu (12,7%), FSTS trung bình 6,0%. Đây là phát hiện khác biệt nhất của luận án: mô hình M1 với hiệu ứng cố định quốc gia và năm cho</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oMath>
      <w:r>
        <w:t xml:space="preserve"> </w:t>
      </w:r>
      <w:r>
        <w:t xml:space="preserve">(</w:t>
      </w:r>
      <m:oMath>
        <m:r>
          <m:t>S</m:t>
        </m:r>
        <m:r>
          <m:t>E</m:t>
        </m:r>
        <m:r>
          <m:rPr>
            <m:sty m:val="p"/>
          </m:rPr>
          <m:t>=</m:t>
        </m:r>
        <m:r>
          <m:t>0</m:t>
        </m:r>
        <m:r>
          <m:rPr>
            <m:sty m:val="p"/>
          </m:rPr>
          <m:t>,</m:t>
        </m:r>
        <m:r>
          <m:t>188</m:t>
        </m:r>
      </m:oMath>
      <w:r>
        <w:t xml:space="preserve">,</w:t>
      </w:r>
      <w:r>
        <w:t xml:space="preserve"> </w:t>
      </w:r>
      <m:oMath>
        <m:r>
          <m:t>t</m:t>
        </m:r>
        <m:r>
          <m:rPr>
            <m:sty m:val="p"/>
          </m:rPr>
          <m:t>=</m:t>
        </m:r>
        <m:r>
          <m:rPr>
            <m:sty m:val="p"/>
          </m:rPr>
          <m:t>−</m:t>
        </m:r>
        <m:r>
          <m:t>2</m:t>
        </m:r>
        <m:r>
          <m:rPr>
            <m:sty m:val="p"/>
          </m:rPr>
          <m:t>,</m:t>
        </m:r>
        <m:r>
          <m:t>152</m:t>
        </m:r>
      </m:oMath>
      <w:r>
        <w:t xml:space="preserve">,</w:t>
      </w:r>
      <w:r>
        <w:t xml:space="preserve"> </w:t>
      </w:r>
      <m:oMath>
        <m:r>
          <m:t>p</m:t>
        </m:r>
        <m:r>
          <m:rPr>
            <m:sty m:val="p"/>
          </m:rPr>
          <m:t>=</m:t>
        </m:r>
        <m:r>
          <m:rPr>
            <m:sty m:val="p"/>
          </m:rPr>
          <m:t>,</m:t>
        </m:r>
        <m:r>
          <m:t>032</m:t>
        </m:r>
      </m:oMath>
      <w:r>
        <w:t xml:space="preserve">), một quan hệ âm đơn điệu, nghĩa là quốc tế hóa càng cao thì hiệu quả càng thấp. Hệ số âm vững qua bốn đặc tả,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187 doanh nghiệp xuất khẩu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loại trừ lời giải thích dựa trên chọn mẫu. Mô hình bổ sung FSTS² không cho kết quả có ý nghĩa, với kiểm định Lind-Mehlum p = ,941 không bác bỏ tính âm đơn điệu, xác nhận không có điểm uốn trong phạm vi dữ liệu. Cả TCI (</w:t>
      </w:r>
      <m:oMath>
        <m:r>
          <m:t>p</m:t>
        </m:r>
        <m:r>
          <m:rPr>
            <m:sty m:val="p"/>
          </m:rPr>
          <m:t>=</m:t>
        </m:r>
        <m:r>
          <m:rPr>
            <m:sty m:val="p"/>
          </m:rPr>
          <m:t>,</m:t>
        </m:r>
        <m:r>
          <m:t>495</m:t>
        </m:r>
      </m:oMath>
      <w:r>
        <w:t xml:space="preserve">) lẫn DAI (</w:t>
      </w:r>
      <m:oMath>
        <m:r>
          <m:t>p</m:t>
        </m:r>
        <m:r>
          <m:rPr>
            <m:sty m:val="p"/>
          </m:rPr>
          <m:t>=</m:t>
        </m:r>
        <m:r>
          <m:rPr>
            <m:sty m:val="p"/>
          </m:rPr>
          <m:t>,</m:t>
        </m:r>
        <m:r>
          <m:t>402</m:t>
        </m:r>
      </m:oMath>
      <w:r>
        <w:t xml:space="preserve">) đều không điều tiết được quan hệ này. Luận án đặt tên cho hiện tượng này là gánh nặng quốc tế hóa bắt buộc (forced internationalization penalty), với cơ chế gồm ba yếu tố cấu trúc: thị trường nội địa quá nhỏ buộc doanh nghiệp xuất khẩu để sinh tồn; chi phí hậu cần cực cao; và thiếu hụt hỗ trợ thể chế. Về lý thuyết, hiện tượng này tái định khung đường cong chữ U ngược từ một quy luật phổ quát thành một quan hệ có điều kiện.</w:t>
      </w:r>
    </w:p>
    <w:bookmarkEnd w:id="36"/>
    <w:bookmarkStart w:id="37" w:name="thảo-luận-tổng-hợp"/>
    <w:p>
      <w:pPr>
        <w:pStyle w:val="Heading2"/>
      </w:pPr>
      <w:r>
        <w:t xml:space="preserve">Thảo luận tổng hợp</w:t>
      </w:r>
    </w:p>
    <w:p>
      <w:pPr>
        <w:pStyle w:val="FirstParagraph"/>
      </w:pPr>
      <w:r>
        <w:t xml:space="preserve">Tổng hợp bằng chứng từ phân tích tổng hợp, toàn mẫu sơ cấp và ba nghiên cứu đơn quốc gia dẫn đến luận điểm trung tâm: hình dạng của quan hệ I-P mang tính phổ quát, nhưng độ cong và vị trí điểm tối ưu của nó phụ thuộc vào bối cảnh thể chế. Trên ba nghiên cứu đơn quốc gia, điểm uốn đi từ khoảng 82% FSTS tại Singapore xuống khoảng 48,78% tại Trung Quốc rồi xuống 39,7% tại Việt Nam. Trong toàn mẫu đa quốc gia, chế độ thể chế chi phối độ cong (concavity / biên độ) của hình chữ U ngược: độ cong sâu dần khi chất lượng thể chế suy giảm và phẳng dần về gần tuyến tính ở chế độ tiên tiến, trong khi điểm uốn theo nhóm không đồng nhất (khoảng 16–50%) và không dịch chuyển đơn điệu. Tính không đồng nhất của độ cong và vị trí điểm tối ưu hòa giải mâu thuẫn bề ngoài giữa các nghiên cứu báo cáo quan hệ tuyến tính dương, chữ U ngược và không có ý nghĩa: đó là những quan sát về cùng một họ đường cong được lấy mẫu ở các địa điểm thể chế khác nhau. Phát hiện này vượt qua công trình của Lu và Beamish (2004), vốn tìm thấy một điểm uốn cố định khoảng 60% trên doanh nghiệp Nhật Bản, và mở rộng phát hiện điều tiết thể chế của Marano và cộng sự (2016) từ phân loại nhị phân sang sáu chế độ con ICRV.</w:t>
      </w:r>
    </w:p>
    <w:p>
      <w:pPr>
        <w:pStyle w:val="BodyText"/>
      </w:pPr>
      <w:r>
        <w:t xml:space="preserve">Sự phân biệt giữa TCI và DAI là một phát hiện liên thông quan trọng. TCI hoạt động như một năng lực nền tảng phổ quát, với hiệu ứng nâng mặt bằng năng suất dương ở mọi mẫu (khoảng 41% trên mỗi đơn vị độ lệch chuẩn), trong khi vai trò uốn đường cong lại đặc thù theo bối cảnh. DAI cho một khuôn mẫu khác biệt và mang tính tình huống: trên toàn mẫu đa quốc gia, DAI có hiệu ứng nâng mặt bằng phổ quát và cả hai tương tác điều tiết đường cong đều có ý nghĩa, với tương tác DAI×ICRV (</w:t>
      </w:r>
      <m:oMath>
        <m:r>
          <m:t>p</m:t>
        </m:r>
        <m:r>
          <m:rPr>
            <m:sty m:val="p"/>
          </m:rPr>
          <m:t>=</m:t>
        </m:r>
        <m:r>
          <m:rPr>
            <m:sty m:val="p"/>
          </m:rPr>
          <m:t>,</m:t>
        </m:r>
        <m:r>
          <m:t>049</m:t>
        </m:r>
      </m:oMath>
      <w:r>
        <w:t xml:space="preserve">) cho thấy năng lực số bù đắp cho thiếu hụt thể chế chứ không khuếch đại lợi thế thể chế sẵn có. Đây là cơ chế thay thế số cho thể chế, và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p>
      <w:r>
        <w:pict>
          <v:rect style="width:0;height:1.5pt" o:hralign="center" o:hrstd="t" o:hr="t"/>
        </w:pict>
      </w:r>
    </w:p>
    <w:bookmarkEnd w:id="37"/>
    <w:bookmarkEnd w:id="38"/>
    <w:bookmarkStart w:id="68" w:name="kết-luận-và-kiến-nghị"/>
    <w:p>
      <w:pPr>
        <w:pStyle w:val="Heading1"/>
      </w:pPr>
      <w:r>
        <w:t xml:space="preserve">KẾT LUẬN VÀ KIẾN NGHỊ</w:t>
      </w:r>
    </w:p>
    <w:bookmarkStart w:id="44" w:name="Xff8cef3ed320f9cf6f3fba4ff558bfed3af19c6"/>
    <w:p>
      <w:pPr>
        <w:pStyle w:val="Heading2"/>
      </w:pPr>
      <w:r>
        <w:t xml:space="preserve">Bàn luận kết quả theo khung lý thuyết CDCM</w:t>
      </w:r>
    </w:p>
    <w:bookmarkStart w:id="39" w:name="X15bf1096964ce027ae5f38ba61f44ecafa6a90e"/>
    <w:p>
      <w:pPr>
        <w:pStyle w:val="Heading3"/>
      </w:pPr>
      <w:r>
        <w:t xml:space="preserve">Dải biến thiên ICRV,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độc lập cùng chỉ về một kết luận, đó là phân tích tổng hợp (phân tích tổng hợp,</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 phẳng, gần như tuyến tính ở nhóm tiên tiến và rõ nét nhất (hình chữ U ngược) ở nhóm đảo nhỏ và cận biên —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 tầng thể chế của khung CDCM một cách thuyết phục: điều kiện biên cho quan hệ I-P không do một yếu tố điều tiết đơn lẻ quy định, mà do</w:t>
      </w:r>
      <w:r>
        <w:t xml:space="preserve"> </w:t>
      </w:r>
      <w:r>
        <w:rPr>
          <w:bCs/>
          <w:b/>
        </w:rPr>
        <w:t xml:space="preserve">cả một chế độ thể chế</w:t>
      </w:r>
      <w:r>
        <w:t xml:space="preserve">, được vận hành hóa thành sáu nhóm con ICRV.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39"/>
    <w:bookmarkStart w:id="40" w:name="tci-là-năng-lực-nền-tảng-xác-nhận-h2"/>
    <w:p>
      <w:pPr>
        <w:pStyle w:val="Heading3"/>
      </w:pPr>
      <w:r>
        <w:t xml:space="preserve">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40"/>
    <w:bookmarkStart w:id="41" w:name="X27755afda27725d75d6cee82c01fb99e8279a05"/>
    <w:p>
      <w:pPr>
        <w:pStyle w:val="Heading3"/>
      </w:pPr>
      <w:r>
        <w:t xml:space="preserve">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41"/>
    <w:bookmarkStart w:id="42" w:name="Xece9a1da6f346a507472622c3a51811b77b548d"/>
    <w:p>
      <w:pPr>
        <w:pStyle w:val="Heading3"/>
      </w:pPr>
      <w:r>
        <w:t xml:space="preserve">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42"/>
    <w:bookmarkStart w:id="43" w:name="Xec64c810cb028afb72ecad1fcf3407044422350"/>
    <w:p>
      <w:pPr>
        <w:pStyle w:val="Heading3"/>
      </w:pPr>
      <w:r>
        <w:t xml:space="preserve">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 một điều kiện biên mà phiên bản ban đầu của CDCM chưa dự báo hết. FIP là biểu hiện của trường hợp khi</w:t>
      </w:r>
      <w:r>
        <w:t xml:space="preserve"> </w:t>
      </w:r>
      <w:r>
        <w:rPr>
          <w:bCs/>
          <w:b/>
        </w:rPr>
        <w:t xml:space="preserve">cả ba tầng của CDCM</w:t>
      </w:r>
      <w:r>
        <w:t xml:space="preserve">, gồm thể chế, năng lực và quản trị, đều ở mức thấp.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bookmarkEnd w:id="43"/>
    <w:bookmarkEnd w:id="44"/>
    <w:bookmarkStart w:id="48" w:name="so-sánh-với-nghiên-cứu-trước-đây"/>
    <w:p>
      <w:pPr>
        <w:pStyle w:val="Heading2"/>
      </w:pPr>
      <w:r>
        <w:t xml:space="preserve">So sánh với nghiên cứu trước đây</w:t>
      </w:r>
    </w:p>
    <w:bookmarkStart w:id="45" w:name="nhất-quán-với-nền-tảng-icbef-2024"/>
    <w:p>
      <w:pPr>
        <w:pStyle w:val="Heading3"/>
      </w:pPr>
      <w:r>
        <w:t xml:space="preserve">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cấu trúc dị biệt: việc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ở tầng 2 và 8,4%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w:t>
      </w:r>
    </w:p>
    <w:bookmarkEnd w:id="45"/>
    <w:bookmarkStart w:id="46" w:name="X7b8db85450aaa41ba255e0d181ebc5c5ae65c48"/>
    <w:p>
      <w:pPr>
        <w:pStyle w:val="Heading3"/>
      </w:pPr>
      <w:r>
        <w:t xml:space="preserve">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46"/>
    <w:bookmarkStart w:id="47" w:name="Xa9e0768422fd6621b6e86563bb0c71b914b0101"/>
    <w:p>
      <w:pPr>
        <w:pStyle w:val="Heading3"/>
      </w:pPr>
      <w:r>
        <w:t xml:space="preserve">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bookmarkEnd w:id="47"/>
    <w:bookmarkEnd w:id="48"/>
    <w:bookmarkStart w:id="52" w:name="đóng-góp-lý-thuyết"/>
    <w:p>
      <w:pPr>
        <w:pStyle w:val="Heading2"/>
      </w:pPr>
      <w:r>
        <w:t xml:space="preserve">Đóng góp lý thuyết</w:t>
      </w:r>
    </w:p>
    <w:bookmarkStart w:id="49" w:name="cdcm-làm-rõ-dai-là-nguồn-lực-tình-huống"/>
    <w:p>
      <w:pPr>
        <w:pStyle w:val="Heading3"/>
      </w:pPr>
      <w:r>
        <w:t xml:space="preserve">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DAI có hiệu ứng nâng mặt bằng phổ quát (β = +0,172, p &lt; 0,001, mẫu gộp N=82.302 từ 45 nền kinh tế), nhưng vai trò uốn đường cong I-P lại</w:t>
      </w:r>
      <w:r>
        <w:t xml:space="preserve"> </w:t>
      </w:r>
      <w:r>
        <w:rPr>
          <w:bCs/>
          <w:b/>
        </w:rPr>
        <w:t xml:space="preserve">phụ thuộc bối cảnh</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49"/>
    <w:bookmarkStart w:id="50" w:name="X2d492fa0307aa4991837f2d5dc38e247101178c"/>
    <w:p>
      <w:pPr>
        <w:pStyle w:val="Heading3"/>
      </w:pPr>
      <w:r>
        <w:t xml:space="preserve">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50"/>
    <w:bookmarkStart w:id="51" w:name="X7352a2da659179c15b73f9225773fcebe172e9a"/>
    <w:p>
      <w:pPr>
        <w:pStyle w:val="Heading3"/>
      </w:pPr>
      <w:r>
        <w:t xml:space="preserve">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bookmarkEnd w:id="51"/>
    <w:bookmarkEnd w:id="52"/>
    <w:bookmarkStart w:id="57" w:name="đề-xuất-chính-sách-và-quản-trị"/>
    <w:p>
      <w:pPr>
        <w:pStyle w:val="Heading2"/>
      </w:pPr>
      <w:r>
        <w:t xml:space="preserve">Đề xuất chính sách và quản trị</w:t>
      </w:r>
    </w:p>
    <w:bookmarkStart w:id="53" w:name="Xbc6d621fc32e0aca77269dff0917fe138aa2fc5"/>
    <w:p>
      <w:pPr>
        <w:pStyle w:val="Heading3"/>
      </w:pPr>
      <w:r>
        <w:t xml:space="preserve">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53"/>
    <w:bookmarkStart w:id="54" w:name="X59d919466906d9a280d645023e1878e458893ad"/>
    <w:p>
      <w:pPr>
        <w:pStyle w:val="Heading3"/>
      </w:pPr>
      <w:r>
        <w:t xml:space="preserve">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1"/>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01"/>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1"/>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54"/>
    <w:bookmarkStart w:id="55" w:name="X8eb24980ca890fc6da7d7cc40ee5058abf48ce9"/>
    <w:p>
      <w:pPr>
        <w:pStyle w:val="Heading3"/>
      </w:pPr>
      <w:r>
        <w:t xml:space="preserve">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55"/>
    <w:bookmarkStart w:id="56" w:name="Xe9c04ec45c7d98621ecb7c78564ab84a21b4658"/>
    <w:p>
      <w:pPr>
        <w:pStyle w:val="Heading3"/>
      </w:pPr>
      <w:r>
        <w:t xml:space="preserve">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FSTS cấu trúc thường vượt 50-70% tổng doanh thu. Kết quả phân tích Việt Nam gợi ý rằng nhiều doanh nghiệp trong số đó có thể đang ở phía bên kia điểm uốn, tức đang gánh chi phí phối hợp quốc tế mà hiệu quả không tăng tương ứng. Giải pháp không phải là giảm xuất khẩu, bởi không có thị trường nội địa để thay thế, mà là</w:t>
      </w:r>
      <w:r>
        <w:t xml:space="preserve"> </w:t>
      </w:r>
      <w:r>
        <w:rPr>
          <w:bCs/>
          <w:b/>
        </w:rPr>
        <w:t xml:space="preserve">nâng TCI song song</w:t>
      </w:r>
      <w:r>
        <w:t xml:space="preserve"> </w:t>
      </w:r>
      <w:r>
        <w:t xml:space="preserve">nhằm đẩy điểm uốn sang phải, mở rộng biên lợi ích của xuất khẩu.</w:t>
      </w:r>
    </w:p>
    <w:p>
      <w:pPr>
        <w:pStyle w:val="BodyText"/>
      </w:pPr>
      <w:r>
        <w:t xml:space="preserve">Mức</w:t>
      </w:r>
      <w:r>
        <w:t xml:space="preserve"> </w:t>
      </w:r>
      <w:r>
        <w:rPr>
          <w:bCs/>
          <w:b/>
        </w:rPr>
        <w:t xml:space="preserve">DAI Tier-1, đo bằng mức chấp nhận trang web,</w:t>
      </w:r>
      <w:r>
        <w:t xml:space="preserve"> </w:t>
      </w:r>
      <w:r>
        <w:t xml:space="preserve">tại Đồng bằng sông Cửu Long vẫn còn thấp so với trung bình cả nước. phân tích Việt Nam cho thấy DAI Tier-1 đơn thuần không có tác động đáng kể, nhưng bằng chứng từ phân tích Singapore (Tier-1+2) lại cho thấy khi doanh nghiệp nâng lên DAI Tier-2, gồm trang web cùng thanh toán điện tử và kết nối nhà cung ứng số, hiệu ứng điều tiết hiện ra rõ rệt. Đây là cơ sở để ưu tiên các chương trình chuyển đổi số</w:t>
      </w:r>
      <w:r>
        <w:t xml:space="preserve"> </w:t>
      </w:r>
      <w:r>
        <w:rPr>
          <w:bCs/>
          <w:b/>
        </w:rPr>
        <w:t xml:space="preserve">toàn diện</w:t>
      </w:r>
      <w:r>
        <w:t xml:space="preserve">, không dừng ở trang web ở mức nền tảng (Tier-1), mà tiến tới tích hợp thanh toán điện tử và kết nối nhà cung ứng số ở Tier-2, đúng tinh thần Chương trình Chuyển đổi số Quốc gia 2025-2030. Nghiên cứu trên dữ liệu WBES Việt Nam 2023, đợt khảo sát gần nhất, sẽ cung cấp bằng chứng cập nhật hơn cho các hàm ý này.</w:t>
      </w:r>
    </w:p>
    <w:bookmarkEnd w:id="56"/>
    <w:bookmarkEnd w:id="57"/>
    <w:bookmarkStart w:id="62" w:name="hạn-chế-và-hướng-nghiên-cứu-tương-lai"/>
    <w:p>
      <w:pPr>
        <w:pStyle w:val="Heading2"/>
      </w:pPr>
      <w:r>
        <w:t xml:space="preserve">Hạn chế và hướng nghiên cứu tương lai</w:t>
      </w:r>
    </w:p>
    <w:bookmarkStart w:id="58" w:name="hạn-chế-về-đo-lường-dai"/>
    <w:p>
      <w:pPr>
        <w:pStyle w:val="Heading3"/>
      </w:pPr>
      <w:r>
        <w:t xml:space="preserve">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58"/>
    <w:bookmarkStart w:id="59" w:name="X9c6addda56cacda8a31e56c0f8a748c29f6b6eb"/>
    <w:p>
      <w:pPr>
        <w:pStyle w:val="Heading3"/>
      </w:pPr>
      <w:r>
        <w:t xml:space="preserve">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59"/>
    <w:bookmarkStart w:id="60" w:name="hạn-chế-về-suy-luận-nhân-quả"/>
    <w:p>
      <w:pPr>
        <w:pStyle w:val="Heading3"/>
      </w:pPr>
      <w:r>
        <w:t xml:space="preserve">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60"/>
    <w:bookmarkStart w:id="61" w:name="hướng-nghiên-cứu-tương-lai"/>
    <w:p>
      <w:pPr>
        <w:pStyle w:val="Heading3"/>
      </w:pPr>
      <w:r>
        <w:t xml:space="preserve">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bookmarkEnd w:id="61"/>
    <w:bookmarkEnd w:id="62"/>
    <w:bookmarkStart w:id="67" w:name="kết-luận"/>
    <w:p>
      <w:pPr>
        <w:pStyle w:val="Heading2"/>
      </w:pPr>
      <w:r>
        <w:t xml:space="preserve">Kết luận</w:t>
      </w:r>
    </w:p>
    <w:bookmarkStart w:id="63" w:name="tổng-kết-tám-nghiên-cứu"/>
    <w:p>
      <w:pPr>
        <w:pStyle w:val="Heading3"/>
      </w:pPr>
      <w:r>
        <w:t xml:space="preserve">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2"/>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02"/>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02"/>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ở tầng 2 và 8,4%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02"/>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63"/>
    <w:bookmarkStart w:id="64" w:name="phát-hiện-trung-tâm"/>
    <w:p>
      <w:pPr>
        <w:pStyle w:val="Heading3"/>
      </w:pPr>
      <w:r>
        <w:t xml:space="preserve">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64"/>
    <w:bookmarkStart w:id="65" w:name="ý-nghĩa-đối-với-lý-thuyết-và-thực-tiễn"/>
    <w:p>
      <w:pPr>
        <w:pStyle w:val="Heading3"/>
      </w:pPr>
      <w:r>
        <w:t xml:space="preserve">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cho thấy điều tiết thể chế trực tiếp ở cấp văn liệu là yếu/không bền vững, trong khi vai trò điều tiết của ICRV chỉ bộc lộ robust ở cấp doanh nghiệp qua tương tác có điều kiện.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65"/>
    <w:bookmarkStart w:id="66" w:name="lời-kết"/>
    <w:p>
      <w:pPr>
        <w:pStyle w:val="Heading3"/>
      </w:pPr>
      <w:r>
        <w:t xml:space="preserve">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bookmarkEnd w:id="66"/>
    <w:bookmarkEnd w:id="67"/>
    <w:bookmarkEnd w:id="68"/>
    <w:sectPr>
      <w:pgSz w:h="11906" w:w="8391"/>
      <w:pgMar w:bottom="850" w:footer="567" w:gutter="0" w:header="567" w:left="1134"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2"/>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2026-05-28T17:30:25Z</dcterms:created>
  <dcterms:modified xsi:type="dcterms:W3CDTF">2026-05-28T17:30:25Z</dcterms:modified>
</cp:coreProperties>
</file>

<file path=docProps/custom.xml><?xml version="1.0" encoding="utf-8"?>
<Properties xmlns="http://schemas.openxmlformats.org/officeDocument/2006/custom-properties" xmlns:vt="http://schemas.openxmlformats.org/officeDocument/2006/docPropsVTypes"/>
</file>