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f358595ccd0280e098b9e1e03e9274f018fdfe"/>
    <w:p>
      <w:pPr>
        <w:pStyle w:val="Heading1"/>
      </w:pPr>
      <w:r>
        <w:t xml:space="preserve">P6 — Quốc tế hóa và hiệu quả hoạt động kinh doanh: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v2.4 (24/05/2026)</w:t>
      </w:r>
      <w:r>
        <w:t xml:space="preserve"> </w:t>
      </w:r>
      <w:r>
        <w:t xml:space="preserve">— MARA trên coded baseline đã xác minh k=238, K=288. r̄=0.074 [0.060, 0.088]; I²=62.4% (L2 within=54.1%, L3 between=8.4%). ICRV Q_M(4)=17.35 (p=.002) omnibus có ý nghĩa nhưng KHÔNG bền vững — bỏ ô Frontier (k=3) → Q_M(3)=1.49 (p=.68) NS; cDAI Q_M(2)=1.23 (p=.541) NS; DPL Q_M(2)=0.56 (p=.755) NS. Egger b=0.475 (SE=0.250, p=.057); Begg τ=−0.134 (p=.0007); trim-and-fill k_imputed=58, adj r=0.035 [0.023, 0.048]. Fail-safe N=45,848 (criterion 5k+10=1,200).</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Management Review Quarterly</w:t>
      </w:r>
      <w:r>
        <w:t xml:space="preserve"> </w:t>
      </w:r>
      <w:r>
        <w:t xml:space="preserve">(Springer, Scopus Q1; đổi từ IBR 2026-05-27) — chấp nhận baseline k=238, độ dài linh hoạt.</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kinh doanh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trên phạm vi toàn cầu;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từ 49 nền kinh tế. Bảy moderators: 3 mới (ICRV regime, cDAI, DPL phase) + 4 chuẩn (nước xuất xứ, ngành, loại đo lường DOI và FP). Tiền đăng ký OSF (https://osf.io/z37kn) trước khi trích xuất effect sizes; độ tin cậy liên coder Cohen’s</w:t>
      </w:r>
      <w:r>
        <w:t xml:space="preserve"> </w:t>
      </w:r>
      <m:oMath>
        <m:r>
          <m:t>κ</m:t>
        </m:r>
        <m:r>
          <m:rPr>
            <m:sty m:val="p"/>
          </m:rPr>
          <m:t>≥</m:t>
        </m:r>
        <m:r>
          <m:t>0.70</m:t>
        </m:r>
      </m:oMath>
      <w:r>
        <w:t xml:space="preserve"> </w:t>
      </w:r>
      <w:r>
        <w:t xml:space="preserve">trên 20% mẫu double-coded.</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Dị biệt (</w:t>
      </w:r>
      <m:oMath>
        <m:sSup>
          <m:e>
            <m:r>
              <m:t>I</m:t>
            </m:r>
          </m:e>
          <m:sup>
            <m:r>
              <m:t>2</m:t>
            </m:r>
          </m:sup>
        </m:sSup>
        <m:r>
          <m:rPr>
            <m:sty m:val="p"/>
          </m:rPr>
          <m:t>=</m:t>
        </m:r>
        <m:r>
          <m:t>62.4</m:t>
        </m:r>
        <m:r>
          <m:rPr>
            <m:sty m:val="p"/>
          </m:rPr>
          <m:t>%</m:t>
        </m:r>
      </m:oMath>
      <w:r>
        <w:t xml:space="preserve">) chủ yếu nằm ở trong-nghiên-cứu L2 (54.1%) hơn là giữa-nghiên-cứu L3 (8.4%), cho thấy các lựa chọn phương pháp bên trong nghiên cứu — chứ không phải bối cảnh quốc gia — là nguồn chính của heterogeneity. Moderator ICRV:</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trên toàn mẫu nhưng KHÔNG bền vững: toàn bộ ý nghĩa do ô Frontier nhỏ (k=3) tạo ra, và kiểm định nhạy cảm bỏ ô này trên 4 regime đông dữ liệu (I/II/III/MX) đưa omnibus về không có ý nghĩa (</w:t>
      </w:r>
      <m:oMath>
        <m:sSub>
          <m:e>
            <m:r>
              <m:t>Q</m:t>
            </m:r>
          </m:e>
          <m:sub>
            <m:r>
              <m:t>M</m:t>
            </m:r>
          </m:sub>
        </m:sSub>
        <m:r>
          <m:rPr>
            <m:sty m:val="p"/>
          </m:rPr>
          <m:t>=</m:t>
        </m:r>
        <m:r>
          <m:t>1.49</m:t>
        </m:r>
      </m:oMath>
      <w:r>
        <w:t xml:space="preserve">,</w:t>
      </w:r>
      <w:r>
        <w:t xml:space="preserve"> </w:t>
      </w:r>
      <m:oMath>
        <m:r>
          <m:t>d</m:t>
        </m:r>
        <m:r>
          <m:t>f</m:t>
        </m:r>
        <m:r>
          <m:rPr>
            <m:sty m:val="p"/>
          </m:rPr>
          <m:t>=</m:t>
        </m:r>
        <m:r>
          <m:t>3</m:t>
        </m:r>
      </m:oMath>
      <w:r>
        <w:t xml:space="preserve">,</w:t>
      </w:r>
      <w:r>
        <w:t xml:space="preserve"> </w:t>
      </w:r>
      <m:oMath>
        <m:r>
          <m:t>p</m:t>
        </m:r>
        <m:r>
          <m:rPr>
            <m:sty m:val="p"/>
          </m:rPr>
          <m:t>=</m:t>
        </m:r>
        <m:r>
          <m:t>.68</m:t>
        </m:r>
      </m:oMath>
      <w:r>
        <w:t xml:space="preserve">) — ngang với cDAI/DPL; không có gradient đơn điệu E1a/E1b.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Thiên lệch công bố: Egger</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Begg</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w:t>
      </w:r>
      <w:r>
        <w:t xml:space="preserve"> </w:t>
      </w:r>
      <w:r>
        <w:rPr>
          <w:bCs/>
          <w:b/>
        </w:rPr>
        <w:t xml:space="preserve">phát hiện chính</w:t>
      </w:r>
      <w:r>
        <w:t xml:space="preserve">. Fail-safe N = 45,848 (tiêu chuẩn 5k+10=1,200: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6-regime đầu tiên cho một corpus I→P đại diện toàn cầu, DPL phase testing đầu tiên systematic. Các moderator số và thời gian cấp quốc gia không có ý nghĩa (cDAI, DPL) được diễn giải qua</w:t>
      </w:r>
      <w:r>
        <w:t xml:space="preserve"> </w:t>
      </w:r>
      <w:r>
        <w:rPr>
          <w:bCs/>
          <w:b/>
        </w:rPr>
        <w:t xml:space="preserve">Thuyết Bất tương thích Khung năng lực (Capability–Context Mismatch)</w:t>
      </w:r>
      <w:r>
        <w:t xml:space="preserve">: bối cảnh số vĩ mô là vô hiệu đối với quan hệ I→P nếu không đi kèm năng lực số ở cấp doanh nghiệp (vi mô) — môi trường vĩ mô không thể thay thế cho năng lực vi mô vốn là thứ thực sự chuyển hóa nó.</w:t>
      </w:r>
    </w:p>
    <w:p>
      <w:r>
        <w:pict>
          <v:rect style="width:0;height:1.5pt" o:hralign="center" o:hrstd="t" o:hr="t"/>
        </w:pict>
      </w:r>
    </w:p>
    <w:bookmarkEnd w:id="20"/>
    <w:bookmarkStart w:id="28" w:name="giới-thiệu"/>
    <w:p>
      <w:pPr>
        <w:pStyle w:val="Heading2"/>
      </w:pPr>
      <w:r>
        <w:t xml:space="preserve">1. Giới thiệu</w:t>
      </w:r>
    </w:p>
    <w:bookmarkStart w:id="21" w:name="X4bf0f18f7c1d2643b792f76f539cf6c63562e2d"/>
    <w:p>
      <w:pPr>
        <w:pStyle w:val="Heading3"/>
      </w:pPr>
      <w:r>
        <w:t xml:space="preserve">1.1 Quan hệ I→P — Chủ đề được phân tích tổng hợp nhiều nhất trong IB</w:t>
      </w:r>
    </w:p>
    <w:p>
      <w:pPr>
        <w:pStyle w:val="FirstParagraph"/>
      </w:pPr>
      <w:r>
        <w:t xml:space="preserve">Quan hệ giữa mức độ quốc tế hóa (internationalization) và hiệu quả hoạt động kinh doanh (firm performance —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 không phải hướng tổng hợp —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 Quan trọng hơn, P6 nâng một phát hiện vượt ra ngoài ba khoảng trống đó lên hàng tuyên bố trung tâm: hiệu chỉnh trim-and-fill kéo hiệu ứng tổng hợp từ</w:t>
      </w:r>
      <w:r>
        <w:t xml:space="preserve"> </w:t>
      </w:r>
      <m:oMath>
        <m:r>
          <m:t>r</m:t>
        </m:r>
        <m:r>
          <m:rPr>
            <m:sty m:val="p"/>
          </m:rPr>
          <m:t>=</m:t>
        </m:r>
        <m:r>
          <m:t>0.074</m:t>
        </m:r>
      </m:oMath>
      <w:r>
        <w:t xml:space="preserve"> </w:t>
      </w:r>
      <w:r>
        <w:t xml:space="preserve">xuống</w:t>
      </w:r>
      <w:r>
        <w:t xml:space="preserve"> </w:t>
      </w:r>
      <m:oMath>
        <m:r>
          <m:t>r</m:t>
        </m:r>
        <m:r>
          <m:rPr>
            <m:sty m:val="p"/>
          </m:rPr>
          <m:t>=</m:t>
        </m:r>
        <m:r>
          <m:t>0.035</m:t>
        </m:r>
      </m:oMath>
      <w:r>
        <w:t xml:space="preserve"> </w:t>
      </w:r>
      <w:r>
        <w:t xml:space="preserve">— mức suy giảm khoảng</w:t>
      </w:r>
      <w:r>
        <w:t xml:space="preserve"> </w:t>
      </w:r>
      <w:r>
        <w:rPr>
          <w:bCs/>
          <w:b/>
        </w:rPr>
        <w:t xml:space="preserve">53%</w:t>
      </w:r>
      <w:r>
        <w:t xml:space="preserve"> </w:t>
      </w:r>
      <w:r>
        <w:t xml:space="preserve">— hàm ý rằng bốn thập kỷ bằng chứng I→P có thể đã bị thổi phồng đáng kể bởi thiên lệch công bố. Đây là một ước lượng hiệu chỉnh, được củng cố bởi kiểm định Begg có ý nghĩa (</w:t>
      </w:r>
      <m:oMath>
        <m:r>
          <m:t>τ</m:t>
        </m:r>
        <m:r>
          <m:rPr>
            <m:sty m:val="p"/>
          </m:rPr>
          <m:t>=</m:t>
        </m:r>
        <m:r>
          <m:rPr>
            <m:sty m:val="p"/>
          </m:rPr>
          <m:t>−</m:t>
        </m:r>
        <m:r>
          <m:t>0.134</m:t>
        </m:r>
      </m:oMath>
      <w:r>
        <w:t xml:space="preserve">,</w:t>
      </w:r>
      <w:r>
        <w:t xml:space="preserve"> </w:t>
      </w:r>
      <m:oMath>
        <m:r>
          <m:t>p</m:t>
        </m:r>
        <m:r>
          <m:rPr>
            <m:sty m:val="p"/>
          </m:rPr>
          <m:t>&lt;</m:t>
        </m:r>
        <m:r>
          <m:t>.001</m:t>
        </m:r>
      </m:oMath>
      <w:r>
        <w:t xml:space="preserve">); do kiểm định Egger chỉ ở mức biên (</w:t>
      </w:r>
      <m:oMath>
        <m:r>
          <m:t>p</m:t>
        </m:r>
        <m:r>
          <m:rPr>
            <m:sty m:val="p"/>
          </m:rPr>
          <m:t>=</m:t>
        </m:r>
        <m:r>
          <m:t>.057</m:t>
        </m:r>
      </m:oMath>
      <w:r>
        <w:t xml:space="preserve">), luận án trình bày con số ~53% như một tín hiệu định hướng mạnh chứ không phải một độ lớn đã chốt.</w:t>
      </w:r>
    </w:p>
    <w:bookmarkEnd w:id="21"/>
    <w:bookmarkStart w:id="22" w:name="X1669aab24163310bf4b735d4769919ae933b2c2"/>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w:t>
      </w:r>
      <w:r>
        <w:t xml:space="preserve">— bối cảnh mà doanh nghiệp vận hành — có điều tiết hiệu ứng I→P không.</w:t>
      </w:r>
    </w:p>
    <w:p>
      <w:pPr>
        <w:pStyle w:val="BodyText"/>
      </w:pPr>
      <w:r>
        <w:t xml:space="preserve">Thứ hai,</w:t>
      </w:r>
      <w:r>
        <w:t xml:space="preserve"> </w:t>
      </w:r>
      <w:r>
        <w:rPr>
          <w:bCs/>
          <w:b/>
        </w:rPr>
        <w:t xml:space="preserve">dị biệt thể chế</w:t>
      </w:r>
      <w:r>
        <w:t xml:space="preserve"> </w:t>
      </w:r>
      <w:r>
        <w:t xml:space="preserve">chưa được mã hóa một cách hệ thống ở độ phân giải đủ tinh. Marano et al. (2016) phân tách home country institutions thành sáu nhóm tổng quát toàn cầu, nhưng chưa có meta nào áp dụng phân loại ICRV 6-regime (Institutional Context Regime Variation) cho một corpus I→P đại diện toàn cầu — corpus trải phổ thể chế rộng nhất,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f8b1503d6a2cbc745bef53f55c0a8abfb661922"/>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a5f22aac61b7cb94e0330389c3a3ff0185a3aa2"/>
    <w:p>
      <w:pPr>
        <w:pStyle w:val="Heading3"/>
      </w:pPr>
      <w:r>
        <w:t xml:space="preserve">1.4 Gap 2: ICRV 6-regime chưa kiểm định trên corpus I→P toàn cầu</w:t>
      </w:r>
    </w:p>
    <w:p>
      <w:pPr>
        <w:pStyle w:val="FirstParagraph"/>
      </w:pPr>
      <w:r>
        <w:rPr>
          <w:bCs/>
          <w:b/>
        </w:rPr>
        <w:t xml:space="preserve">Định nghĩa</w:t>
      </w:r>
      <w:r>
        <w:t xml:space="preserve">: ICRV 6-regime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sáu mã: Regime I (Advanced-Innovation,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Frontier (FR, WGI</w:t>
      </w:r>
      <w:r>
        <w:t xml:space="preserve"> </w:t>
      </w:r>
      <m:oMath>
        <m:r>
          <m:rPr>
            <m:sty m:val="p"/>
          </m:rPr>
          <m:t>&lt;</m:t>
        </m:r>
        <m:r>
          <m:rPr>
            <m:sty m:val="p"/>
          </m:rPr>
          <m:t>−</m:t>
        </m:r>
        <m:r>
          <m:t>0.50</m:t>
        </m:r>
      </m:oMath>
      <w:r>
        <w:t xml:space="preserve">), SIDS (Quốc đảo Thái Bình Dương — tương ứng Nhóm VI trong khung ICRV của luận án, boundary case), và Mixed/đa quốc gia (MX, nghiên cứu trải</w:t>
      </w:r>
      <w:r>
        <w:t xml:space="preserve"> </w:t>
      </w:r>
      <m:oMath>
        <m:r>
          <m:rPr>
            <m:sty m:val="p"/>
          </m:rPr>
          <m:t>≥</m:t>
        </m:r>
        <m:r>
          <m:t>2</m:t>
        </m:r>
      </m:oMath>
      <w:r>
        <w:t xml:space="preserve"> </w:t>
      </w:r>
      <w:r>
        <w:t xml:space="preserve">regime). Trong corpus hiện tại, ô SIDS không có nghiên cứu đạt chuẩn (</w:t>
      </w:r>
      <m:oMath>
        <m:r>
          <m:t>k</m:t>
        </m:r>
        <m:r>
          <m:rPr>
            <m:sty m:val="p"/>
          </m:rPr>
          <m:t>=</m:t>
        </m:r>
        <m:r>
          <m:t>0</m:t>
        </m:r>
      </m:oMath>
      <w:r>
        <w:t xml:space="preserve">), nên kiểm định thực nghiệm chạy trên 5 ô có dữ liệu (xem Mục 4.3).</w:t>
      </w:r>
    </w:p>
    <w:p>
      <w:pPr>
        <w:pStyle w:val="BodyText"/>
      </w:pPr>
      <w:r>
        <w:rPr>
          <w:bCs/>
          <w:b/>
        </w:rPr>
        <w:t xml:space="preserve">Đối chiếu đánh số với hệ chuẩn ICRV 6-regime của luận án</w:t>
      </w:r>
      <w:r>
        <w:t xml:space="preserve">: do corpus meta toàn cầu gộp một số chế độ, P6 dùng đánh số gọn. Bảng đối chiếu: P6 Nhóm I ≡ Nhóm I luận án (Advanced-Innovation); P6 Nhóm II (Upper-middle) ≡ Nhóm III luận án; P6 Nhóm III (Emerging) ≡ Nhóm IV luận án; FR (Frontier) ≡ Nhóm V; SIDS ≡ Nhóm VI. Nhóm II luận án (Advanced Resource-Driven/GCC) không tách riêng trong corpus P6 (các nghiên cứu GCC gộp vào MX hoặc không đủ chuẩn PICO); MX là mã đa quốc gia mang tính phương pháp, không có tương ứng trong hệ I–VI.</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6-regime cho một corpus I→P đại diện toàn cầu — corpus trải phổ thể chế rộng nhất. Doanh nghiệp từ Singapore (Regime I) vận hành theo logic hoàn toàn khác doanh nghiệp từ Afghanistan (Frontier).</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 P8).</w:t>
      </w:r>
    </w:p>
    <w:bookmarkEnd w:id="24"/>
    <w:bookmarkStart w:id="25" w:name="Xf06e3a5a092813fd79d6982ad2cea918625593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 chưa có hiệu ứng số rõ),</w:t>
      </w:r>
      <w:r>
        <w:t xml:space="preserve"> </w:t>
      </w:r>
      <w:r>
        <w:rPr>
          <w:bCs/>
          <w:b/>
        </w:rPr>
        <w:t xml:space="preserve">Span</w:t>
      </w:r>
      <w:r>
        <w:t xml:space="preserve"> </w:t>
      </w:r>
      <w:r>
        <w:t xml:space="preserve">(data 2005–2014 — pha chuyển đổi),</w:t>
      </w:r>
      <w:r>
        <w:t xml:space="preserve"> </w:t>
      </w:r>
      <w:r>
        <w:rPr>
          <w:bCs/>
          <w:b/>
        </w:rPr>
        <w:t xml:space="preserve">Follow</w:t>
      </w:r>
      <w:r>
        <w:t xml:space="preserve"> </w:t>
      </w:r>
      <w:r>
        <w:t xml:space="preserve">(data sau 2014 —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đóng-góp-của-nghiên-cứu"/>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 three-level MARA theo Cheung (2014) và Van den Noortgate et al. (2013) — đầu tiên trong literature I→P, phân tách heterogeneity thành ba cấp (sampling error, within-study, between-study); (2) Tiền đăng ký OSF trước khi trích xuất effect sizes mới để đảm bảo transparency; (3) Inter-coder reliability với Cohen’s</w:t>
      </w:r>
      <w:r>
        <w:t xml:space="preserve"> </w:t>
      </w:r>
      <m:oMath>
        <m:r>
          <m:t>κ</m:t>
        </m:r>
        <m:r>
          <m:rPr>
            <m:sty m:val="p"/>
          </m:rPr>
          <m:t>≥</m:t>
        </m:r>
        <m:r>
          <m:t>0.7</m:t>
        </m:r>
      </m:oMath>
      <w:r>
        <w:t xml:space="preserve"> </w:t>
      </w:r>
      <w:r>
        <w:t xml:space="preserve">trên 20% double-coded subset.</w:t>
      </w:r>
    </w:p>
    <w:p>
      <w:pPr>
        <w:pStyle w:val="BodyText"/>
      </w:pPr>
      <w:r>
        <w:rPr>
          <w:bCs/>
          <w:b/>
        </w:rPr>
        <w:t xml:space="preserve">Theoretical</w:t>
      </w:r>
      <w:r>
        <w:t xml:space="preserve">: (4) Kiểm định ICRV 6-regime đầu tiên áp dụng cho một corpus I→P đại diện toàn cầu (k=238, 49 nền kinh tế; 5/6 nhóm có dữ liệu)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 pool I→P đại diện toàn cầu lớn nhất từ trước đến nay (49 nền kinh tế); (8) Subgroup analysis theo khung ICRV 6-regime — với 5 ô có dữ liệu (ô SIDS/Nhóm VI không có nghiên cứu đạt chuẩn) — phổ thể chế underrepresented và heterogeneous nhất trong các meta-analyses trước.</w:t>
      </w:r>
    </w:p>
    <w:bookmarkEnd w:id="26"/>
    <w:bookmarkStart w:id="27" w:name="cấu-trúc-bài"/>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khung-lý-thuyết-và-hệ-giả-thuyết"/>
    <w:p>
      <w:pPr>
        <w:pStyle w:val="Heading2"/>
      </w:pPr>
      <w:r>
        <w:t xml:space="preserve">2. Khung lý thuyết và hệ giả thuyết</w:t>
      </w:r>
    </w:p>
    <w:bookmarkStart w:id="29" w:name="bốn-lý-thuyết-nền"/>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w:t>
      </w:r>
      <w:r>
        <w:t xml:space="preserve"> </w:t>
      </w:r>
      <w:r>
        <w:t xml:space="preserve">“</w:t>
      </w:r>
      <w:r>
        <w:t xml:space="preserve">data-augmented learning</w:t>
      </w:r>
      <w:r>
        <w:t xml:space="preserve">”</w:t>
      </w:r>
      <w:r>
        <w:t xml:space="preserve"> </w:t>
      </w:r>
      <w:r>
        <w:t xml:space="preserve">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 Technological Capability Index, cấp doanh nghiệp) khỏi DAI (chỉ số chấp nhận số —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 thiếu hụt thể chế trung gian — tăng chi phí cho internationalization. Marano et al. (2016) cung cấp meta-analytic evidence rằng home country institutions điều tiết I→P. Nghiên cứu này mở rộng bằng ICRV 6-regime áp dụng cho corpus I→P toàn cầu.</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fe122374196da3dddc6ec3f31f23425b24bcb67"/>
    <w:p>
      <w:pPr>
        <w:pStyle w:val="Heading3"/>
      </w:pPr>
      <w:r>
        <w:t xml:space="preserve">2.2 Capability–Institution Mismatch Theory (lý thuyết mới —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 Singapore, Hàn Quốc, Nhật) đạt được amplification effect — hạ tầng số quốc gia khuếch đại lợi ích từ internationalization bằng cách giảm chi phí phối hợp xuyên biên giới. Ngược lại, doanh nghiệp trong môi trường cDAI thấp (Frontier) gặp</w:t>
      </w:r>
      <w:r>
        <w:t xml:space="preserve"> </w:t>
      </w:r>
      <w:r>
        <w:t xml:space="preserve">“</w:t>
      </w:r>
      <w:r>
        <w:t xml:space="preserve">digital coordination mismatch</w:t>
      </w:r>
      <w:r>
        <w:t xml:space="preserve">”</w:t>
      </w:r>
      <w:r>
        <w:t xml:space="preserve"> </w:t>
      </w:r>
      <w:r>
        <w:t xml:space="preserve">— khả năng tận dụng DAI doanh nghiệp bị giới hạn do thiếu hạ tầng thể chế và số quốc gia. Lưu ý: DAI (firm-level) và TCI (firm-level) là hai cấu trúc riêng biệt, không gộp chung thành</w:t>
      </w:r>
      <w:r>
        <w:t xml:space="preserve"> </w:t>
      </w:r>
      <w:r>
        <w:t xml:space="preserve">“</w:t>
      </w:r>
      <w:r>
        <w:t xml:space="preserve">năng lực số doanh nghiệp</w:t>
      </w:r>
      <w:r>
        <w:t xml:space="preserve">”</w:t>
      </w:r>
      <w:r>
        <w:t xml:space="preserve"> </w:t>
      </w:r>
      <w:r>
        <w:t xml:space="preserve">—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 DAI null sau IV correction), P4 (Singapore —</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 DAI control only) phù hợp với logic Mismatch: Singapore (Regime I) cho thấy amplification; Việt Nam và Trung Quốc (Regime II/III) cho thấy conditional/null effect.</w:t>
      </w:r>
    </w:p>
    <w:bookmarkEnd w:id="30"/>
    <w:bookmarkStart w:id="31" w:name="X993451fb9e84d01c99da6151598e3f57807a123"/>
    <w:p>
      <w:pPr>
        <w:pStyle w:val="Heading3"/>
      </w:pPr>
      <w:r>
        <w:t xml:space="preserve">2.3 Digital Paradox Lifecycle (lý thuyết mới —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1f44f482156a1bf60ebc5988cb062a8916ace3e"/>
    <w:p>
      <w:pPr>
        <w:pStyle w:val="Heading3"/>
      </w:pPr>
      <w:r>
        <w:t xml:space="preserve">2.4 ICRV 6-regime Framework (lý thuyết mới —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 Singapore, Hàn Quốc, Đài Loan, Israel, Hong Kong, Cyprus): thể chế mạnh + cDAI rất cao → turning point rất cao hoặc monotonic positive; Regime II (Advanced Resource-driven — Saudi Arabia, Kuwait, Qatar, Bahrain, Oman): thể chế khá + phụ thuộc tài nguyên → inverted-U muộn; Regime III (Upper-middle Transition — Trung Quốc, Malaysia, Thái Lan, Kazakhstan, Armenia): thể chế trung bình + cDAI trung bình → inverted-U rõ; Regime IV (Emerging — Việt Nam, Indonesia, Philippines, Ấn Độ, Pakistan): thể chế yếu hơn + cDAI thấp → inverted-U sớm; Regime V (Frontier — Kyrgyzstan, Tajikistan, Myanmar, Campuchia, Lào): thể chế rất yếu → inverted-U rất sớm; Regime VI (SIDS — Fiji, Vanuatu, Quần đảo Solomon, Tonga, Timor-Leste): forced internationalization penalty (Đỗ &amp; Phan, 2026 — P8).</w:t>
      </w:r>
    </w:p>
    <w:p>
      <w:pPr>
        <w:pStyle w:val="BodyText"/>
      </w:pPr>
      <w:r>
        <w:rPr>
          <w:bCs/>
          <w:b/>
        </w:rPr>
        <w:t xml:space="preserve">Phân biệt</w:t>
      </w:r>
      <w:r>
        <w:t xml:space="preserve">: Khác Marano et al. (2016) — ICRV 6-regime áp dụng cho corpus I→P toàn cầu,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hệ-giả-thuyết-hm1hm4"/>
    <w:p>
      <w:pPr>
        <w:pStyle w:val="Heading3"/>
      </w:pPr>
      <w:r>
        <w:t xml:space="preserve">2.5 Hệ giả thuyết Hm1–Hm4</w:t>
      </w:r>
    </w:p>
    <w:p>
      <w:pPr>
        <w:pStyle w:val="FirstParagraph"/>
      </w:pPr>
      <w:r>
        <w:rPr>
          <w:bCs/>
          <w:b/>
        </w:rPr>
        <w:t xml:space="preserve">Hm1 —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2" w:name="phương-pháp"/>
    <w:p>
      <w:pPr>
        <w:pStyle w:val="Heading2"/>
      </w:pPr>
      <w:r>
        <w:t xml:space="preserve">3. Phương pháp</w:t>
      </w:r>
    </w:p>
    <w:bookmarkStart w:id="35" w:name="prisma-2020-và-chiến-lược-tìm-kiếm"/>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(https://osf.io/z37kn; 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2,180 records, ngày search/API 18/05/2026; sau deduplication nội bộ WoS còn 2,179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bookmarkEnd w:id="35"/>
    <w:bookmarkStart w:id="36" w:name="tiêu-chí-inclusionexclusion"/>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6"/>
    <w:bookmarkStart w:id="37" w:name="moderator-coding-protocol"/>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mã)</w:t>
            </w:r>
          </w:p>
        </w:tc>
        <w:tc>
          <w:tcPr/>
          <w:p>
            <w:pPr>
              <w:pStyle w:val="Compact"/>
              <w:jc w:val="left"/>
            </w:pPr>
            <w:r>
              <w:t xml:space="preserve">I/II/III/FR/SIDS/MX theo WGI RoL với thresholds</w:t>
            </w:r>
            <w:r>
              <w:t xml:space="preserve"> </w:t>
            </w:r>
            <m:oMath>
              <m:r>
                <m:rPr>
                  <m:sty m:val="p"/>
                </m:rPr>
                <m:t>+</m:t>
              </m:r>
              <m:r>
                <m:t>0.80</m:t>
              </m:r>
              <m:r>
                <m:rPr>
                  <m:sty m:val="p"/>
                </m:rPr>
                <m:t>/</m:t>
              </m:r>
              <m:r>
                <m:rPr>
                  <m:sty m:val="p"/>
                </m:rPr>
                <m:t>−</m:t>
              </m:r>
              <m:r>
                <m:t>0.50</m:t>
              </m:r>
            </m:oMath>
            <w:r>
              <w:t xml:space="preserve"> </w:t>
            </w:r>
            <w:r>
              <w:t xml:space="preserve">(I=Advanced-Innovation, II=Upper-middle, III=Emerging, FR=Frontier, SIDS=Quốc đảo TBD ≡ Nhóm VI luận án, MX=đa quốc gia ≥2 regime); ô SIDS có</w:t>
            </w:r>
            <w:r>
              <w:t xml:space="preserve"> </w:t>
            </w:r>
            <m:oMath>
              <m:r>
                <m:t>k</m:t>
              </m:r>
              <m:r>
                <m:rPr>
                  <m:sty m:val="p"/>
                </m:rPr>
                <m:t>=</m:t>
              </m:r>
              <m:r>
                <m:t>0</m:t>
              </m:r>
            </m:oMath>
            <w:r>
              <w:t xml:space="preserve"> </w:t>
            </w:r>
            <w:r>
              <w:t xml:space="preserve">trong corpus nên 5 ô được kiểm định (</w:t>
            </w:r>
            <m:oMath>
              <m:r>
                <m:t>d</m:t>
              </m:r>
              <m:r>
                <m:t>f</m:t>
              </m:r>
              <m:r>
                <m:rPr>
                  <m:sty m:val="p"/>
                </m:rPr>
                <m:t>=</m:t>
              </m:r>
              <m:r>
                <m:t>4</m:t>
              </m:r>
            </m:oMath>
            <w:r>
              <w:t xml:space="preserve">)</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Inter-coder reliability</w:t>
      </w:r>
      <w:r>
        <w:t xml:space="preserve">: Double-code 20% sample (≈26 studies) với coder thứ hai (RA hoặc peer). Tính Cohen’s</w:t>
      </w:r>
      <w:r>
        <w:t xml:space="preserve"> </w:t>
      </w:r>
      <m:oMath>
        <m:r>
          <m:t>κ</m:t>
        </m:r>
      </m:oMath>
      <w:r>
        <w:t xml:space="preserve"> </w:t>
      </w:r>
      <w:r>
        <w:t xml:space="preserve">riêng cho ICRV, cDAI, DPL. Target</w:t>
      </w:r>
      <w:r>
        <w:t xml:space="preserve"> </w:t>
      </w:r>
      <m:oMath>
        <m:r>
          <m:t>κ</m:t>
        </m:r>
        <m:r>
          <m:rPr>
            <m:sty m:val="p"/>
          </m:rPr>
          <m:t>≥</m:t>
        </m:r>
        <m:r>
          <m:t>0.70</m:t>
        </m:r>
      </m:oMath>
      <w:r>
        <w:t xml:space="preserve">. Resolve disagreements qua discussion; document trong Appendix C.</w:t>
      </w:r>
    </w:p>
    <w:bookmarkEnd w:id="37"/>
    <w:bookmarkStart w:id="38" w:name="three-level-mara-mô-hình-toán-học"/>
    <w:p>
      <w:pPr>
        <w:pStyle w:val="Heading3"/>
      </w:pPr>
      <w:r>
        <w:t xml:space="preserve">3.4 Three-level MARA —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8"/>
    <w:bookmarkStart w:id="39" w:name="kiểm-định-publication-bias"/>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39"/>
    <w:bookmarkStart w:id="40" w:name="kiểm-định-độ-vững"/>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0"/>
    <w:bookmarkStart w:id="41" w:name="inter-coder-reliability"/>
    <w:p>
      <w:pPr>
        <w:pStyle w:val="Heading3"/>
      </w:pPr>
      <w:r>
        <w:t xml:space="preserve">3.7 Inter-coder reliability</w:t>
      </w:r>
    </w:p>
    <w:p>
      <w:pPr>
        <w:pStyle w:val="FirstParagraph"/>
      </w:pPr>
      <w:r>
        <w:rPr>
          <w:bCs/>
          <w:b/>
        </w:rPr>
        <w:t xml:space="preserve">Protocol</w:t>
      </w:r>
      <w:r>
        <w:t xml:space="preserve">: Coder 1 (NCS) code tất cả 234 studies. Coder 2 (RA hoặc peer) double-code ngẫu nhiên 47 studies (20%). Tính Cohen’s</w:t>
      </w:r>
      <w:r>
        <w:t xml:space="preserve"> </w:t>
      </w:r>
      <m:oMath>
        <m:r>
          <m:t>κ</m:t>
        </m:r>
      </m:oMath>
      <w:r>
        <w:t xml:space="preserve"> </w:t>
      </w:r>
      <w:r>
        <w:t xml:space="preserve">riêng cho: (a) ICRV regime (5 nhóm), (b) cDAI quartile (3 nhóm), (c) DPL phase (3 nhóm).</w:t>
      </w:r>
    </w:p>
    <w:p>
      <w:pPr>
        <w:pStyle w:val="BodyText"/>
      </w:pPr>
      <w:r>
        <w:rPr>
          <w:bCs/>
          <w:b/>
        </w:rPr>
        <w:t xml:space="preserve">Target</w:t>
      </w:r>
      <w:r>
        <w:t xml:space="preserve">:</w:t>
      </w:r>
      <w:r>
        <w:t xml:space="preserve"> </w:t>
      </w:r>
      <m:oMath>
        <m:r>
          <m:t>κ</m:t>
        </m:r>
        <m:r>
          <m:rPr>
            <m:sty m:val="p"/>
          </m:rPr>
          <m:t>≥</m:t>
        </m:r>
        <m:r>
          <m:t>0.70</m:t>
        </m:r>
      </m:oMath>
      <w:r>
        <w:t xml:space="preserve"> </w:t>
      </w:r>
      <w:r>
        <w:t xml:space="preserve">cho cả ba moderator. Nếu</w:t>
      </w:r>
      <w:r>
        <w:t xml:space="preserve"> </w:t>
      </w:r>
      <m:oMath>
        <m:r>
          <m:t>κ</m:t>
        </m:r>
        <m:r>
          <m:rPr>
            <m:sty m:val="p"/>
          </m:rPr>
          <m:t>&lt;</m:t>
        </m:r>
        <m:r>
          <m:t>0.70</m:t>
        </m:r>
      </m:oMath>
      <w:r>
        <w:t xml:space="preserve">: (i) thảo luận để resolve disagreements, (ii) refine coding protocol, (iii) double-code thêm 20 studies, (iv) re-calculate.</w:t>
      </w:r>
    </w:p>
    <w:p>
      <w:pPr>
        <w:pStyle w:val="BodyText"/>
      </w:pPr>
      <w:r>
        <w:rPr>
          <w:bCs/>
          <w:b/>
        </w:rPr>
        <w:t xml:space="preserve">Ngưỡng diễn giải</w:t>
      </w:r>
      <w:r>
        <w:t xml:space="preserve">:</w:t>
      </w:r>
      <w:r>
        <w:t xml:space="preserve"> </w:t>
      </w:r>
      <m:oMath>
        <m:r>
          <m:t>κ</m:t>
        </m:r>
        <m:r>
          <m:rPr>
            <m:sty m:val="p"/>
          </m:rPr>
          <m:t>=</m:t>
        </m:r>
        <m:r>
          <m:t>0.61</m:t>
        </m:r>
        <m:r>
          <m:rPr>
            <m:sty m:val="p"/>
          </m:rPr>
          <m:t>−</m:t>
        </m:r>
        <m:r>
          <m:t>0.80</m:t>
        </m:r>
      </m:oMath>
      <w:r>
        <w:t xml:space="preserve"> </w:t>
      </w:r>
      <w:r>
        <w:t xml:space="preserve">(substantial),</w:t>
      </w:r>
      <w:r>
        <w:t xml:space="preserve"> </w:t>
      </w:r>
      <m:oMath>
        <m:r>
          <m:t>κ</m:t>
        </m:r>
        <m:r>
          <m:rPr>
            <m:sty m:val="p"/>
          </m:rPr>
          <m:t>&gt;</m:t>
        </m:r>
        <m:r>
          <m:t>0.80</m:t>
        </m:r>
      </m:oMath>
      <w:r>
        <w:t xml:space="preserve"> </w:t>
      </w:r>
      <w:r>
        <w:t xml:space="preserve">(almost perfect) — Landis &amp; Koch (1977).</w:t>
      </w:r>
    </w:p>
    <w:p>
      <w:r>
        <w:pict>
          <v:rect style="width:0;height:1.5pt" o:hralign="center" o:hrstd="t" o:hr="t"/>
        </w:pict>
      </w:r>
    </w:p>
    <w:bookmarkEnd w:id="41"/>
    <w:bookmarkEnd w:id="42"/>
    <w:bookmarkStart w:id="50" w:name="kết-quả"/>
    <w:p>
      <w:pPr>
        <w:pStyle w:val="Heading2"/>
      </w:pPr>
      <w:r>
        <w:t xml:space="preserve">4. Kết quả</w:t>
      </w:r>
    </w:p>
    <w:bookmarkStart w:id="43" w:name="mô-tả-mẫu"/>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r>
        <w:t xml:space="preserve"> </w:t>
      </w:r>
      <w:r>
        <w:t xml:space="preserve">- Identified from WoS: n = 2,180 records (API/search date: 18/05/2026); Scopus/OpenAlex/supplementary databases pending.</w:t>
      </w:r>
      <w:r>
        <w:t xml:space="preserve"> </w:t>
      </w:r>
      <w:r>
        <w:t xml:space="preserve">- After WoS deduplication: n = 2,179 records (1 duplicate removed).</w:t>
      </w:r>
      <w:r>
        <w:t xml:space="preserve"> </w:t>
      </w:r>
      <w:r>
        <w:t xml:space="preserve">- L1 keyword pre-screen: n = 782 advanced to L2; n = 1,397 excluded at L1.</w:t>
      </w:r>
      <w:r>
        <w:t xml:space="preserve"> </w:t>
      </w:r>
      <w:r>
        <w:t xml:space="preserve">- L2 title screen and re-screening: total L2 Y/title-eligible = n = 565 (345 initial + 135 R1 + 30 R2 + 25 R3 + 15 R4 + 4 R5 + 8 R6 + 0 R7 + 3 R8); still UNSURE = n = 0 (after R8 WebSearch pass 19/05/2026: 3Y+7N resolved from 10; all UNSURE fully resolved).</w:t>
      </w:r>
      <w:r>
        <w:t xml:space="preserve"> </w:t>
      </w:r>
      <w:r>
        <w:t xml:space="preserve">- Eligibility/extraction pool: active extraction worklist v9 = n = 535 records; high-priority extraction = n = 166; DOI available = n = 378.</w:t>
      </w:r>
      <w:r>
        <w:t xml:space="preserve"> </w:t>
      </w:r>
      <w:r>
        <w:t xml:space="preserve">-</w:t>
      </w:r>
      <w:r>
        <w:t xml:space="preserve"> </w:t>
      </w:r>
      <w:r>
        <w:rPr>
          <w:bCs/>
          <w:b/>
        </w:rPr>
        <w:t xml:space="preserve">Extraction status (19/05/2026)</w:t>
      </w:r>
      <w:r>
        <w:t xml:space="preserve">: 1 record fully extracted — S0129 (Srividhya &amp; Vidya 2024, JEI): r=0.13**, n≈992 panel firm-yrs, ICRV=3 (India), DPL=2, doi_type=fsts, fp_type=roa; S0483 (Hutzschenreuter &amp; Matt 2017, JIBS) confirmed N — JIBS Counterpoint/theoretical paper, no empirical I→P relationship.</w:t>
      </w:r>
      <w:r>
        <w:t xml:space="preserve"> </w:t>
      </w:r>
      <w:r>
        <w:t xml:space="preserve">- Included in current MARA baseline: k = 238 studies / K = 288 effect sizes / N = 258,557.</w:t>
      </w:r>
    </w:p>
    <w:p>
      <w:pPr>
        <w:pStyle w:val="BodyText"/>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3"/>
    <w:bookmarkStart w:id="44" w:name="kết-quả-baseline-three-level"/>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62.4</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54.1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8.4</m:t>
        </m:r>
        <m:r>
          <m:rPr>
            <m:sty m:val="p"/>
          </m:rPr>
          <m:t>%</m:t>
        </m:r>
      </m:oMath>
      <w:r>
        <w:t xml:space="preserve"> </w:t>
      </w:r>
      <w:r>
        <w:t xml:space="preserve">(Level 3, between-study). Con số này consistent với</w:t>
      </w:r>
      <w:r>
        <w:t xml:space="preserve"> </w:t>
      </w:r>
      <m:oMath>
        <m:r>
          <m:t>r</m:t>
        </m:r>
        <m:r>
          <m:rPr>
            <m:sty m:val="p"/>
          </m:rPr>
          <m:t>=</m:t>
        </m:r>
        <m:r>
          <m:t>0.07</m:t>
        </m:r>
      </m:oMath>
      <w:r>
        <w:t xml:space="preserve"> </w:t>
      </w:r>
      <w:r>
        <w:t xml:space="preserve">từ baseline MetaEssentials —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(xem Mục 4.6).</w:t>
      </w:r>
    </w:p>
    <w:p>
      <w:pPr>
        <w:pStyle w:val="BodyText"/>
      </w:pPr>
      <w:r>
        <w:rPr>
          <w:bCs/>
          <w:b/>
        </w:rPr>
        <w:t xml:space="preserve">Bảng 4.1 —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4"/>
    <w:bookmarkStart w:id="45" w:name="X632aac8ae1c7b0d2996d59f418a032b9d86528b"/>
    <w:p>
      <w:pPr>
        <w:pStyle w:val="Heading3"/>
      </w:pPr>
      <w:r>
        <w:t xml:space="preserve">4.3 Phân tích moderator: ICRV regime (5 ô có dữ liệu)</w:t>
      </w:r>
    </w:p>
    <w:p>
      <w:pPr>
        <w:pStyle w:val="FirstParagraph"/>
      </w:pPr>
      <w:r>
        <w:rPr>
          <w:bCs/>
          <w:b/>
        </w:rPr>
        <w:t xml:space="preserve">Phương pháp</w:t>
      </w:r>
      <w:r>
        <w:t xml:space="preserve">: Subgroup analysis cho 5 ô ICRV regime có dữ liệu (ô SIDS/Nhóm VI rỗng,</w:t>
      </w:r>
      <w:r>
        <w:t xml:space="preserve"> </w:t>
      </w:r>
      <m:oMath>
        <m:r>
          <m:t>k</m:t>
        </m:r>
        <m:r>
          <m:rPr>
            <m:sty m:val="p"/>
          </m:rPr>
          <m:t>=</m:t>
        </m:r>
        <m:r>
          <m:t>0</m:t>
        </m:r>
      </m:oMath>
      <w:r>
        <w:t xml:space="preserve">) trong khung 6 mã,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trên 5 ô ICRV có dữ liệu (trong khung 6 mã; ô SIDS/Nhóm VI rỗng):</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thống kê trên toàn mẫu, nhưng KHÔNG bền vững. Toàn bộ ý nghĩa do ô Frontier nhỏ, hiệu ứng cao (k=3) tạo ra: kiểm định nhạy cảm bỏ ô Frontier, ước lượng lại trên 4 regime đông dữ liệu (I/II/III/MX, K=285), đưa moderation liên nhóm về</w:t>
      </w:r>
      <w:r>
        <w:t xml:space="preserve"> </w:t>
      </w:r>
      <m:oMath>
        <m:sSub>
          <m:e>
            <m:r>
              <m:t>Q</m:t>
            </m:r>
          </m:e>
          <m:sub>
            <m:r>
              <m:t>M</m:t>
            </m:r>
          </m:sub>
        </m:sSub>
        <m:r>
          <m:rPr>
            <m:sty m:val="p"/>
          </m:rPr>
          <m:t>=</m:t>
        </m:r>
        <m:r>
          <m:t>1.49</m:t>
        </m:r>
      </m:oMath>
      <w:r>
        <w:t xml:space="preserve"> </w:t>
      </w:r>
      <w:r>
        <w:t xml:space="preserve">(</w:t>
      </w:r>
      <m:oMath>
        <m:r>
          <m:t>d</m:t>
        </m:r>
        <m:r>
          <m:t>f</m:t>
        </m:r>
        <m:r>
          <m:rPr>
            <m:sty m:val="p"/>
          </m:rPr>
          <m:t>=</m:t>
        </m:r>
        <m:r>
          <m:t>3</m:t>
        </m:r>
      </m:oMath>
      <w:r>
        <w:t xml:space="preserve">,</w:t>
      </w:r>
      <w:r>
        <w:t xml:space="preserve"> </w:t>
      </w:r>
      <m:oMath>
        <m:r>
          <m:t>p</m:t>
        </m:r>
        <m:r>
          <m:rPr>
            <m:sty m:val="p"/>
          </m:rPr>
          <m:t>=</m:t>
        </m:r>
        <m:r>
          <m:t>.68</m:t>
        </m:r>
      </m:oMath>
      <w:r>
        <w:t xml:space="preserve">) — không có ý nghĩa và ngang bằng với cDAI/DPL. Sự khác biệt vì vậy KHÔNG hình thành một gradient đơn điệu theo chiều kỳ vọng E1a/E1b:</w:t>
      </w:r>
    </w:p>
    <w:p>
      <w:pPr>
        <w:pStyle w:val="BodyText"/>
      </w:pPr>
      <w:r>
        <w:rPr>
          <w:bCs/>
          <w:b/>
        </w:rPr>
        <w:t xml:space="preserve">Bảng 4.2 — Kết quả ICRV regime subgroup, 5 ô có dữ liệu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moderation ICRV KHÔNG bền vững (bỏ ô FR → Q_M=1.49, p=.68, NS). SIDS không có đủ effect sizes trong pool hiện tại để phân tích subgroup riêng. Đối chiếu hệ chuẩn luận án: P6 II ≡ luận án III, P6 III ≡ luận án IV, FR ≡ V, SIDS ≡ VI (xem Mục 1.4).</w:t>
      </w:r>
    </w:p>
    <w:bookmarkEnd w:id="45"/>
    <w:bookmarkStart w:id="46" w:name="phân-tích-moderator-cdai"/>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Kiểm định omnibus liên nhóm cDAI KHÔNG có ý nghĩa thống kê; Hm3 không được ủng hộ. Phân tích subgroup categorical (L/M/H):</w:t>
      </w:r>
    </w:p>
    <w:p>
      <w:pPr>
        <w:pStyle w:val="BodyText"/>
      </w:pPr>
      <w:r>
        <w:rPr>
          <w:bCs/>
          <w:b/>
        </w:rPr>
        <w:t xml:space="preserve">Bảng 4.3 —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 không có sự khác biệt đáng kể giữa các nhóm. Gradient H&gt;L&gt;M không theo chiều tuyến tính rõ ràng. Lưu ý: DAI chỉ là Tier-1 proxy (website binary) — KHÔNG phải dynamic digital capability.</w:t>
      </w:r>
    </w:p>
    <w:bookmarkEnd w:id="46"/>
    <w:bookmarkStart w:id="47" w:name="phân-tích-moderator-dpl-phase"/>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Thứ tự thực tế ngược chiều kỳ vọng:</w:t>
      </w:r>
    </w:p>
    <w:p>
      <w:pPr>
        <w:pStyle w:val="BodyText"/>
      </w:pPr>
      <w:r>
        <w:rPr>
          <w:bCs/>
          <w:b/>
        </w:rPr>
        <w:t xml:space="preserve">Bảng 4.4 —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 ngược với kỳ vọng Follow &gt; Span &gt; Precede. Pairwise comparisons đều không có ý nghĩa (tất cả p &gt; .05). Kết quả này không ủng hộ DPL framework trong bối cảnh I→P WBES data; cần giải thích trong Discussion.</w:t>
      </w:r>
    </w:p>
    <w:bookmarkEnd w:id="47"/>
    <w:bookmarkStart w:id="48" w:name="publication-bias"/>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6"/>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6"/>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w:t>
      </w:r>
      <w:r>
        <w:t xml:space="preserve"> </w:t>
      </w:r>
      <w:r>
        <w:rPr>
          <w:bCs/>
          <w:b/>
        </w:rPr>
        <w:t xml:space="preserve">CÓ ý nghĩa</w:t>
      </w:r>
      <w:r>
        <w:t xml:space="preserve">, cho thấy funnel asymmetry rõ ràng; bằng chứng publication bias</w:t>
      </w:r>
    </w:p>
    <w:p>
      <w:pPr>
        <w:numPr>
          <w:ilvl w:val="0"/>
          <w:numId w:val="1006"/>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vs. unadjusted</w:t>
      </w:r>
      <w:r>
        <w:t xml:space="preserve"> </w:t>
      </w:r>
      <m:oMath>
        <m:acc>
          <m:accPr>
            <m:chr m:val="̂"/>
          </m:accPr>
          <m:e>
            <m:r>
              <m:t>r</m:t>
            </m:r>
          </m:e>
        </m:acc>
        <m:r>
          <m:rPr>
            <m:sty m:val="p"/>
          </m:rPr>
          <m:t>=</m:t>
        </m:r>
        <m:r>
          <m:t>0.074</m:t>
        </m:r>
      </m:oMath>
      <w:r>
        <w:t xml:space="preserve"> </w:t>
      </w:r>
      <w:r>
        <w:t xml:space="preserve">— giảm 53%,</w:t>
      </w:r>
      <w:r>
        <w:t xml:space="preserve"> </w:t>
      </w:r>
      <w:r>
        <w:rPr>
          <w:bCs/>
          <w:b/>
        </w:rPr>
        <w:t xml:space="preserve">phát hiện chính</w:t>
      </w:r>
      <w:r>
        <w:t xml:space="preserve">: I→P effect bị phóng đại đáng kể bởi publication bias</w:t>
      </w:r>
    </w:p>
    <w:p>
      <w:pPr>
        <w:numPr>
          <w:ilvl w:val="0"/>
          <w:numId w:val="1006"/>
        </w:numPr>
        <w:pStyle w:val="Compact"/>
      </w:pPr>
      <w:r>
        <w:rPr>
          <w:bCs/>
          <w:b/>
        </w:rPr>
        <w:t xml:space="preserve">Fail-safe N</w:t>
      </w:r>
      <w:r>
        <w:t xml:space="preserve">: 45,848 (tiêu chuẩn 1,200 —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8"/>
    <w:bookmarkStart w:id="49" w:name="kiểm-định-độ-vững-1"/>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Robust —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Robust —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Robust —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0.075]</w:t>
            </w:r>
          </w:p>
        </w:tc>
        <w:tc>
          <w:tcPr/>
          <w:p>
            <w:pPr>
              <w:pStyle w:val="Compact"/>
              <w:jc w:val="left"/>
            </w:pPr>
            <w:r>
              <w:t xml:space="preserve">0/288 đảo chiều</w:t>
            </w:r>
          </w:p>
        </w:tc>
        <w:tc>
          <w:tcPr/>
          <w:p>
            <w:pPr>
              <w:pStyle w:val="Compact"/>
              <w:jc w:val="left"/>
            </w:pPr>
            <w:r>
              <w:t xml:space="preserve">Không có outlier chi phối</w:t>
            </w:r>
          </w:p>
        </w:tc>
      </w:tr>
    </w:tbl>
    <w:p>
      <w:pPr>
        <w:pStyle w:val="BodyText"/>
      </w:pPr>
      <w:r>
        <w:t xml:space="preserve">Kết quả pooled estimate rất stable (range 0.061–0.077). Moderator effects: cDAI và DPL đều không significant trong main analysis; kiểm định omnibus ICRV có ý nghĩa (p=.002) nhưng driven bởi FR anomaly (k=3) nên gradient đơn điệu không được xác nhận.</w:t>
      </w:r>
    </w:p>
    <w:p>
      <w:r>
        <w:pict>
          <v:rect style="width:0;height:1.5pt" o:hralign="center" o:hrstd="t" o:hr="t"/>
        </w:pict>
      </w:r>
    </w:p>
    <w:bookmarkEnd w:id="49"/>
    <w:bookmarkEnd w:id="50"/>
    <w:bookmarkStart w:id="55" w:name="thảo-luận"/>
    <w:p>
      <w:pPr>
        <w:pStyle w:val="Heading2"/>
      </w:pPr>
      <w:r>
        <w:t xml:space="preserve">5. Thảo luận</w:t>
      </w:r>
    </w:p>
    <w:bookmarkStart w:id="51" w:name="tích-hợp-với-cdcm-p3p4p5-evidence"/>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 consistent với CDCM dự đoán TCI &gt; DAI ở Regime II.</w:t>
      </w:r>
    </w:p>
    <w:p>
      <w:pPr>
        <w:pStyle w:val="BodyText"/>
      </w:pPr>
      <w:r>
        <w:rPr>
          <w:bCs/>
          <w:b/>
        </w:rPr>
        <w:t xml:space="preserve">Implication meta-analytic</w:t>
      </w:r>
      <w:r>
        <w:t xml:space="preserve">: Kiểm định omnibus ICRV liên nhóm CÓ ý nghĩa trên toàn mẫu (</w:t>
      </w:r>
      <m:oMath>
        <m:sSub>
          <m:e>
            <m:r>
              <m:t>Q</m:t>
            </m:r>
          </m:e>
          <m:sub>
            <m:r>
              <m:t>M</m:t>
            </m:r>
          </m:sub>
        </m:sSub>
        <m:r>
          <m:rPr>
            <m:sty m:val="p"/>
          </m:rPr>
          <m:t>=</m:t>
        </m:r>
        <m:r>
          <m:t>17.35</m:t>
        </m:r>
      </m:oMath>
      <w:r>
        <w:t xml:space="preserve">,</w:t>
      </w:r>
      <w:r>
        <w:t xml:space="preserve"> </w:t>
      </w:r>
      <m:oMath>
        <m:r>
          <m:t>p</m:t>
        </m:r>
        <m:r>
          <m:rPr>
            <m:sty m:val="p"/>
          </m:rPr>
          <m:t>=</m:t>
        </m:r>
        <m:r>
          <m:t>.002</m:t>
        </m:r>
      </m:oMath>
      <w:r>
        <w:t xml:space="preserve">) nhưng KHÔNG bền vững: FR anomaly (k=3) là nguồn chính của</w:t>
      </w:r>
      <w:r>
        <w:t xml:space="preserve"> </w:t>
      </w:r>
      <m:oMath>
        <m:sSub>
          <m:e>
            <m:r>
              <m:t>Q</m:t>
            </m:r>
          </m:e>
          <m:sub>
            <m:r>
              <m:t>M</m:t>
            </m:r>
          </m:sub>
        </m:sSub>
      </m:oMath>
      <w:r>
        <w:t xml:space="preserve">, bỏ ô này thì omnibus về không có ý nghĩa (</w:t>
      </w:r>
      <m:oMath>
        <m:sSub>
          <m:e>
            <m:r>
              <m:t>Q</m:t>
            </m:r>
          </m:e>
          <m:sub>
            <m:r>
              <m:t>M</m:t>
            </m:r>
          </m:sub>
        </m:sSub>
        <m:r>
          <m:rPr>
            <m:sty m:val="p"/>
          </m:rPr>
          <m:t>=</m:t>
        </m:r>
        <m:r>
          <m:t>1.49</m:t>
        </m:r>
      </m:oMath>
      <w:r>
        <w:t xml:space="preserve">,</w:t>
      </w:r>
      <w:r>
        <w:t xml:space="preserve"> </w:t>
      </w:r>
      <m:oMath>
        <m:r>
          <m:t>p</m:t>
        </m:r>
        <m:r>
          <m:rPr>
            <m:sty m:val="p"/>
          </m:rPr>
          <m:t>=</m:t>
        </m:r>
        <m:r>
          <m:t>.68</m:t>
        </m:r>
      </m:oMath>
      <w:r>
        <w:t xml:space="preserve">). Vì vậy moderation thể chế trực tiếp ở cấp literature là yếu/không robust, và propositions khám phá E1a/E1b không được xác nhận.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1"/>
    <w:bookmarkStart w:id="52" w:name="hàm-ý-lý-thuyết"/>
    <w:p>
      <w:pPr>
        <w:pStyle w:val="Heading3"/>
      </w:pPr>
      <w:r>
        <w:t xml:space="preserve">5.2 Hàm ý lý thuyết</w:t>
      </w:r>
    </w:p>
    <w:p>
      <w:pPr>
        <w:pStyle w:val="FirstParagraph"/>
      </w:pPr>
      <w:r>
        <w:rPr>
          <w:bCs/>
          <w:b/>
        </w:rPr>
        <w:t xml:space="preserve">Đóng góp 1 — Three-level MARA</w:t>
      </w:r>
      <w:r>
        <w:t xml:space="preserve">: Phân tách heterogeneity thành hai cấp tiết lộ rằng phần lớn variance trong I→P literature bắt nguồn từ within-study variance (</w:t>
      </w:r>
      <m:oMath>
        <m:sSubSup>
          <m:e>
            <m:r>
              <m:t>σ</m:t>
            </m:r>
          </m:e>
          <m:sub>
            <m:d>
              <m:dPr>
                <m:begChr m:val="("/>
                <m:endChr m:val=")"/>
                <m:sepChr m:val=""/>
                <m:grow/>
              </m:dPr>
              <m:e>
                <m:r>
                  <m:t>2</m:t>
                </m:r>
              </m:e>
            </m:d>
          </m:sub>
          <m:sup>
            <m:r>
              <m:t>2</m:t>
            </m:r>
          </m:sup>
        </m:sSubSup>
        <m:r>
          <m:rPr>
            <m:sty m:val="p"/>
          </m:rPr>
          <m:t>=</m:t>
        </m:r>
        <m:r>
          <m:t>0.00874</m:t>
        </m:r>
      </m:oMath>
      <w:r>
        <w:t xml:space="preserve">,</w:t>
      </w:r>
      <w:r>
        <w:t xml:space="preserve"> </w:t>
      </w:r>
      <m:oMath>
        <m:sSubSup>
          <m:e>
            <m:r>
              <m:t>I</m:t>
            </m:r>
          </m:e>
          <m:sub>
            <m:d>
              <m:dPr>
                <m:begChr m:val="("/>
                <m:endChr m:val=")"/>
                <m:sepChr m:val=""/>
                <m:grow/>
              </m:dPr>
              <m:e>
                <m:r>
                  <m:t>2</m:t>
                </m:r>
              </m:e>
            </m:d>
          </m:sub>
          <m:sup>
            <m:r>
              <m:t>2</m:t>
            </m:r>
          </m:sup>
        </m:sSubSup>
        <m:r>
          <m:rPr>
            <m:sty m:val="p"/>
          </m:rPr>
          <m:t>=</m:t>
        </m:r>
        <m:r>
          <m:t>54.1</m:t>
        </m:r>
        <m:r>
          <m:rPr>
            <m:sty m:val="p"/>
          </m:rPr>
          <m:t>%</m:t>
        </m:r>
      </m:oMath>
      <w:r>
        <w:t xml:space="preserve">) chứ không phải between-study (</w:t>
      </w:r>
      <m:oMath>
        <m:sSubSup>
          <m:e>
            <m:r>
              <m:t>σ</m:t>
            </m:r>
          </m:e>
          <m:sub>
            <m:d>
              <m:dPr>
                <m:begChr m:val="("/>
                <m:endChr m:val=")"/>
                <m:sepChr m:val=""/>
                <m:grow/>
              </m:dPr>
              <m:e>
                <m:r>
                  <m:t>3</m:t>
                </m:r>
              </m:e>
            </m:d>
          </m:sub>
          <m:sup>
            <m:r>
              <m:t>2</m:t>
            </m:r>
          </m:sup>
        </m:sSubSup>
        <m:r>
          <m:rPr>
            <m:sty m:val="p"/>
          </m:rPr>
          <m:t>=</m:t>
        </m:r>
        <m:r>
          <m:t>0.00135</m:t>
        </m:r>
      </m:oMath>
      <w:r>
        <w:t xml:space="preserve">,</w:t>
      </w:r>
      <w:r>
        <w:t xml:space="preserve"> </w:t>
      </w:r>
      <m:oMath>
        <m:sSubSup>
          <m:e>
            <m:r>
              <m:t>I</m:t>
            </m:r>
          </m:e>
          <m:sub>
            <m:d>
              <m:dPr>
                <m:begChr m:val="("/>
                <m:endChr m:val=")"/>
                <m:sepChr m:val=""/>
                <m:grow/>
              </m:dPr>
              <m:e>
                <m:r>
                  <m:t>3</m:t>
                </m:r>
              </m:e>
            </m:d>
          </m:sub>
          <m:sup>
            <m:r>
              <m:t>2</m:t>
            </m:r>
          </m:sup>
        </m:sSubSup>
        <m:r>
          <m:rPr>
            <m:sty m:val="p"/>
          </m:rPr>
          <m:t>=</m:t>
        </m:r>
        <m:r>
          <m:t>8.4</m:t>
        </m:r>
        <m:r>
          <m:rPr>
            <m:sty m:val="p"/>
          </m:rPr>
          <m:t>%</m:t>
        </m:r>
      </m:oMath>
      <w:r>
        <w:t xml:space="preserve">). Điều này có nghĩa là</w:t>
      </w:r>
      <w:r>
        <w:t xml:space="preserve"> </w:t>
      </w:r>
      <w:r>
        <w:rPr>
          <w:bCs/>
          <w:b/>
        </w:rPr>
        <w:t xml:space="preserve">các lựa chọn phương pháp bên trong từng nghiên cứu</w:t>
      </w:r>
      <w:r>
        <w:t xml:space="preserve"> </w:t>
      </w:r>
      <w:r>
        <w:t xml:space="preserve">— cách đo lường DOI/FP, đặc tả mô hình, sub-sample — chứ không phải khác biệt thể chế ổn định giữa các quốc gia, là nguồn chính của heterogeneity. Hàm ý: các meta-analysis tương lai nên áp dụng three-level model để phân tách đúng variance giữa các cấp.</w:t>
      </w:r>
    </w:p>
    <w:p>
      <w:pPr>
        <w:pStyle w:val="BodyText"/>
      </w:pPr>
      <w:r>
        <w:rPr>
          <w:bCs/>
          <w:b/>
        </w:rPr>
        <w:t xml:space="preserve">Đóng góp 2 —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 ICRV moderation có ý nghĩa trên toàn mẫu nhưng KHÔNG bền vững</w:t>
      </w:r>
      <w:r>
        <w:t xml:space="preserve">: Kiểm định omnibus</w:t>
      </w:r>
      <w:r>
        <w:t xml:space="preserve"> </w:t>
      </w:r>
      <m:oMath>
        <m:sSub>
          <m:e>
            <m:r>
              <m:t>Q</m:t>
            </m:r>
          </m:e>
          <m:sub>
            <m:r>
              <m:t>M</m:t>
            </m:r>
          </m:sub>
        </m:sSub>
        <m:r>
          <m:rPr>
            <m:sty m:val="p"/>
          </m:rPr>
          <m:t>=</m:t>
        </m:r>
        <m:r>
          <m:t>17.35</m:t>
        </m:r>
      </m:oMath>
      <w:r>
        <w:t xml:space="preserve"> </w:t>
      </w:r>
      <w:r>
        <w:t xml:space="preserve">(</w:t>
      </w:r>
      <m:oMath>
        <m:r>
          <m:t>p</m:t>
        </m:r>
        <m:r>
          <m:rPr>
            <m:sty m:val="p"/>
          </m:rPr>
          <m:t>=</m:t>
        </m:r>
        <m:r>
          <m:t>.002</m:t>
        </m:r>
      </m:oMath>
      <w:r>
        <w:t xml:space="preserve">) CÓ ý nghĩa trên toàn mẫu, nhưng FR anomaly (k=3) là driver duy nhất — kiểm định nhạy cảm bỏ ô này đưa</w:t>
      </w:r>
      <w:r>
        <w:t xml:space="preserve"> </w:t>
      </w:r>
      <m:oMath>
        <m:sSub>
          <m:e>
            <m:r>
              <m:t>Q</m:t>
            </m:r>
          </m:e>
          <m:sub>
            <m:r>
              <m:t>M</m:t>
            </m:r>
          </m:sub>
        </m:sSub>
        <m:r>
          <m:rPr>
            <m:sty m:val="p"/>
          </m:rPr>
          <m:t>=</m:t>
        </m:r>
        <m:r>
          <m:t>1.49</m:t>
        </m:r>
      </m:oMath>
      <w:r>
        <w:t xml:space="preserve"> </w:t>
      </w:r>
      <w:r>
        <w:t xml:space="preserve">(</w:t>
      </w:r>
      <m:oMath>
        <m:r>
          <m:t>d</m:t>
        </m:r>
        <m:r>
          <m:t>f</m:t>
        </m:r>
        <m:r>
          <m:rPr>
            <m:sty m:val="p"/>
          </m:rPr>
          <m:t>=</m:t>
        </m:r>
        <m:r>
          <m:t>3</m:t>
        </m:r>
      </m:oMath>
      <w:r>
        <w:t xml:space="preserve">,</w:t>
      </w:r>
      <w:r>
        <w:t xml:space="preserve"> </w:t>
      </w:r>
      <m:oMath>
        <m:r>
          <m:t>p</m:t>
        </m:r>
        <m:r>
          <m:rPr>
            <m:sty m:val="p"/>
          </m:rPr>
          <m:t>=</m:t>
        </m:r>
        <m:r>
          <m:t>.68</m:t>
        </m:r>
      </m:oMath>
      <w:r>
        <w:t xml:space="preserve">), không có ý nghĩa. Không có moderation thể chế trực tiếp robust ở cấp literature; tính ngữ cảnh thể chế chỉ bộc lộ ở cấp doanh nghiệp qua tương tác có điều kiện (CDCM). Cần thêm studies ở Frontier và SIDS để adjudicate propositions E1a/E1b.</w:t>
      </w:r>
    </w:p>
    <w:bookmarkEnd w:id="52"/>
    <w:bookmarkStart w:id="53" w:name="hàm-ý-thực-tiễn-và-chính-sách"/>
    <w:p>
      <w:pPr>
        <w:pStyle w:val="Heading3"/>
      </w:pPr>
      <w:r>
        <w:t xml:space="preserve">5.3 Hàm ý thực tiễn và chính sách</w:t>
      </w:r>
    </w:p>
    <w:p>
      <w:pPr>
        <w:pStyle w:val="FirstParagraph"/>
      </w:pPr>
      <w:r>
        <w:rPr>
          <w:bCs/>
          <w:b/>
        </w:rPr>
        <w:t xml:space="preserve">Cho doanh nghiệp</w:t>
      </w:r>
      <w:r>
        <w:t xml:space="preserve">:</w:t>
      </w:r>
      <w:r>
        <w:t xml:space="preserve"> </w:t>
      </w:r>
      <w:r>
        <w:t xml:space="preserve">- 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 doanh nghiệp không nên kỳ vọng tự động improvement từ internationalization</w:t>
      </w:r>
      <w:r>
        <w:t xml:space="preserve"> </w:t>
      </w:r>
      <w:r>
        <w:t xml:space="preserve">- Doanh nghiệp ở Regime I (Advanced, k=139): hiệu ứng thực tế</w:t>
      </w:r>
      <w:r>
        <w:t xml:space="preserve"> </w:t>
      </w:r>
      <m:oMath>
        <m:acc>
          <m:accPr>
            <m:chr m:val="‾"/>
          </m:accPr>
          <m:e>
            <m:r>
              <m:t>r</m:t>
            </m:r>
          </m:e>
        </m:acc>
        <m:r>
          <m:rPr>
            <m:sty m:val="p"/>
          </m:rPr>
          <m:t>=</m:t>
        </m:r>
        <m:r>
          <m:t>0.079</m:t>
        </m:r>
      </m:oMath>
      <w:r>
        <w:t xml:space="preserve"> </w:t>
      </w:r>
      <w:r>
        <w:t xml:space="preserve">— có lợi nhưng nhỏ</w:t>
      </w:r>
      <w:r>
        <w:t xml:space="preserve"> </w:t>
      </w:r>
      <w:r>
        <w:t xml:space="preserve">- Doanh nghiệp ở Regime III–V: ưu tiên TCI (technological capability) trước DAI — consistent với P3/P4/P5 evidence</w:t>
      </w:r>
      <w:r>
        <w:t xml:space="preserve"> </w:t>
      </w:r>
      <w:r>
        <w:t xml:space="preserve">- cDAI KHÔNG có hiệu ứng điều tiết đáng kể trong meta-analysis (</w:t>
      </w:r>
      <m:oMath>
        <m:sSub>
          <m:e>
            <m:r>
              <m:t>Q</m:t>
            </m:r>
          </m:e>
          <m:sub>
            <m:r>
              <m:t>M</m:t>
            </m:r>
          </m:sub>
        </m:sSub>
        <m:r>
          <m:rPr>
            <m:sty m:val="p"/>
          </m:rPr>
          <m:t>=</m:t>
        </m:r>
        <m:r>
          <m:t>1.23</m:t>
        </m:r>
      </m:oMath>
      <w:r>
        <w:t xml:space="preserve">, p=.541) — digital adoption quốc gia không tự động khuếch đại I→P</w:t>
      </w:r>
    </w:p>
    <w:p>
      <w:pPr>
        <w:pStyle w:val="BodyText"/>
      </w:pPr>
      <w:r>
        <w:rPr>
          <w:bCs/>
          <w:b/>
        </w:rPr>
        <w:t xml:space="preserve">Cho nhà hoạch định chính sách</w:t>
      </w:r>
      <w:r>
        <w:t xml:space="preserve">:</w:t>
      </w:r>
      <w:r>
        <w:t xml:space="preserve"> </w:t>
      </w:r>
      <w:r>
        <w:t xml:space="preserve">- Publication bias lớn (k_imp=58) gợi ý nhiều negative findings về I→P không được công bố — cần incentivize null result publication</w:t>
      </w:r>
      <w:r>
        <w:t xml:space="preserve"> </w:t>
      </w:r>
      <w:r>
        <w:t xml:space="preserve">- Cải thiện institutional quality vẫn quan trọng, song bằng chứng meta cấp literature về moderation thể chế trực tiếp là yếu (ICRV omnibus không bền vững khi bỏ ô Frontier, Q_M=1.49, p=.68); tác động thể chế bộc lộ rõ hơn ở cấp doanh nghiệp qua tương tác có điều kiện (CDCM)</w:t>
      </w:r>
      <w:r>
        <w:t xml:space="preserve"> </w:t>
      </w:r>
      <w:r>
        <w:t xml:space="preserve">- SIDS cần hỗ trợ đặc biệt — forced internationalization penalty không thể giải quyết chỉ bằng digital adoption</w:t>
      </w:r>
    </w:p>
    <w:bookmarkEnd w:id="53"/>
    <w:bookmarkStart w:id="54" w:name="hạn-chế"/>
    <w:p>
      <w:pPr>
        <w:pStyle w:val="Heading3"/>
      </w:pPr>
      <w:r>
        <w:t xml:space="preserve">5.4 Hạn chế</w:t>
      </w:r>
    </w:p>
    <w:p>
      <w:pPr>
        <w:pStyle w:val="FirstParagraph"/>
      </w:pPr>
      <w:r>
        <w:rPr>
          <w:bCs/>
          <w:b/>
        </w:rPr>
        <w:t xml:space="preserve">Hạn chế phương pháp</w:t>
      </w:r>
      <w:r>
        <w:t xml:space="preserve">: (1) Meta-analysis tổng hợp correlational evidence — không suy luận nhân quả trực tiếp. (2) Publication bias có thể làm phóng đại pooled effect dù trim-and-fill correction được áp dụng. (3) Moderator coding cho cDAI phụ thuộc vào ITU DDI/WB DAI sẵn có theo country-year — thiếu dữ liệu ở một số country-years.</w:t>
      </w:r>
    </w:p>
    <w:p>
      <w:pPr>
        <w:pStyle w:val="BodyText"/>
      </w:pPr>
      <w:r>
        <w:rPr>
          <w:bCs/>
          <w:b/>
        </w:rPr>
        <w:t xml:space="preserve">Hạn chế dữ liệu</w:t>
      </w:r>
      <w:r>
        <w:t xml:space="preserve">: (4) Studies đa số từ các nước châu Á đã có WBES —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6-regime thresholds (</w:t>
      </w:r>
      <m:oMath>
        <m:r>
          <m:rPr>
            <m:sty m:val="p"/>
          </m:rPr>
          <m:t>+</m:t>
        </m:r>
        <m:r>
          <m:t>0.80</m:t>
        </m:r>
        <m:r>
          <m:rPr>
            <m:sty m:val="p"/>
          </m:rPr>
          <m:t>/</m:t>
        </m:r>
        <m:r>
          <m:rPr>
            <m:sty m:val="p"/>
          </m:rPr>
          <m:t>−</m:t>
        </m:r>
        <m:r>
          <m:t>0.50</m:t>
        </m:r>
      </m:oMath>
      <w:r>
        <w:t xml:space="preserve">) được lựa chọn dựa trên WGI distribution — không có lý thuyết nội sinh tuyệt đối. (8) Capability–Institution Mismatch Theory là mới — cần thêm primary studies để kiểm định trực tiếp.</w:t>
      </w:r>
    </w:p>
    <w:p>
      <w:r>
        <w:pict>
          <v:rect style="width:0;height:1.5pt" o:hralign="center" o:hrstd="t" o:hr="t"/>
        </w:pict>
      </w:r>
    </w:p>
    <w:bookmarkEnd w:id="54"/>
    <w:bookmarkEnd w:id="55"/>
    <w:bookmarkStart w:id="56" w:name="kết-luận"/>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các cấp lồng nhau — một cải tiến quan trọng so với single-level pooling truyền thống. Kết quả cho thấy tổng</w:t>
      </w:r>
      <w:r>
        <w:t xml:space="preserve"> </w:t>
      </w:r>
      <m:oMath>
        <m:sSup>
          <m:e>
            <m:r>
              <m:t>I</m:t>
            </m:r>
          </m:e>
          <m:sup>
            <m:r>
              <m:t>2</m:t>
            </m:r>
          </m:sup>
        </m:sSup>
        <m:r>
          <m:rPr>
            <m:sty m:val="p"/>
          </m:rPr>
          <m:t>=</m:t>
        </m:r>
        <m:r>
          <m:t>62.4</m:t>
        </m:r>
        <m:r>
          <m:rPr>
            <m:sty m:val="p"/>
          </m:rPr>
          <m:t>%</m:t>
        </m:r>
      </m:oMath>
      <w:r>
        <w:t xml:space="preserve"> </w:t>
      </w:r>
      <w:r>
        <w:t xml:space="preserve">chủ yếu nằm ở within-study variance (Level 2, 54.1%) hơn là between-study (Level 3, 8.4%), xác nhận rằng</w:t>
      </w:r>
      <w:r>
        <w:t xml:space="preserve"> </w:t>
      </w:r>
      <w:r>
        <w:rPr>
          <w:bCs/>
          <w:b/>
        </w:rPr>
        <w:t xml:space="preserve">các lựa chọn phương pháp bên trong nghiên cứu</w:t>
      </w:r>
      <w:r>
        <w:t xml:space="preserve"> </w:t>
      </w:r>
      <w:r>
        <w:t xml:space="preserve">— chứ không phải khác biệt bối cảnh quốc gia — là nguồn chính của heterogeneity I→P.</w:t>
      </w:r>
    </w:p>
    <w:p>
      <w:pPr>
        <w:pStyle w:val="BodyText"/>
      </w:pPr>
      <w:r>
        <w:t xml:space="preserve">Về lý thuyết, kết quả thực tế từ MARA (k=238, K=288) cho thấy: kiểm định omnibus ICRV (Hm2) CÓ ý nghĩa trên toàn mẫu (Q_M=17.35, p=.002) nhưng KHÔNG bền vững — bỏ ô Frontier (k=3) thì về không có ý nghĩa (Q_M=1.49, p=.68) — nên moderation thể chế trực tiếp không được xác nhận robust và gradient đơn điệu E1a/E1b cũng không; Hm3 (cDAI amplification) không được ủng hộ (Q_M=1.23, p=.541); Hm4 (DPL evolution) không được ủng hộ (Q_M=0.56, p=.755).</w:t>
      </w:r>
      <w:r>
        <w:t xml:space="preserve"> </w:t>
      </w:r>
      <w:r>
        <w:rPr>
          <w:bCs/>
          <w:b/>
        </w:rPr>
        <w:t xml:space="preserve">Phát hiện chính</w:t>
      </w:r>
      <w:r>
        <w:t xml:space="preserve">: thiên lệch công bố đáng kể —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6"/>
    <w:bookmarkStart w:id="57" w:name="X370ac1c1c1c04f9283cec2bfcc0b68f48cd4a49"/>
    <w:p>
      <w:pPr>
        <w:pStyle w:val="Heading2"/>
      </w:pPr>
      <w:r>
        <w:t xml:space="preserve">Ghi chú hoàn thiện P6 v2.0 —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không điền số liệu chưa được xác nhận. Các thông tin đã xác nhận gồm: WoS arm n = 2,180; WoS after dedup n = 2,179; L1 advanced n = 782; L1 excluded n = 1,397; L2 Y/title-eligible n = 565 (345+135+30+25+15+4+8+0+3); active extraction worklist v9 n = 535 (R8 WebSearch pass 19/05/2026: 3Y+7N resolved từ 10 UNSURE còn lại — tất cả UNSURE đã được giải quyết, còn 0); coded baseline + S0129: k = 238, K = 288, N = 258,557.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7"/>
    <w:bookmarkStart w:id="58"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School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8"/>
    <w:bookmarkStart w:id="62" w:name="phụ-lục"/>
    <w:p>
      <w:pPr>
        <w:pStyle w:val="Heading2"/>
      </w:pPr>
      <w:r>
        <w:t xml:space="preserve">Phụ lục</w:t>
      </w:r>
    </w:p>
    <w:bookmarkStart w:id="59" w:name="phụ-lục-a-prisma-2020-flow-diagram"/>
    <w:p>
      <w:pPr>
        <w:pStyle w:val="Heading3"/>
      </w:pPr>
      <w:r>
        <w:t xml:space="preserve">Phụ lục A — PRISMA 2020 Flow Diagram</w:t>
      </w:r>
    </w:p>
    <w:p>
      <w:pPr>
        <w:pStyle w:val="SourceCode"/>
      </w:pPr>
      <w:r>
        <w:rPr>
          <w:rStyle w:val="VerbatimChar"/>
        </w:rPr>
        <w:t xml:space="preserve">IDENTIFICATION</w:t>
      </w:r>
      <w:r>
        <w:br/>
      </w:r>
      <w:r>
        <w:rPr>
          <w:rStyle w:val="VerbatimChar"/>
        </w:rPr>
        <w:t xml:space="preserve">Records identified from WoS Core Collection: n = 2,180 (18/05/2026)</w:t>
      </w:r>
      <w:r>
        <w:br/>
      </w:r>
      <w:r>
        <w:rPr>
          <w:rStyle w:val="VerbatimChar"/>
        </w:rPr>
        <w:t xml:space="preserve">Records after WoS deduplication: n = 2,179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59"/>
    <w:bookmarkStart w:id="60" w:name="phụ-lục-b-coding-protocol-7-moderators"/>
    <w:p>
      <w:pPr>
        <w:pStyle w:val="Heading3"/>
      </w:pPr>
      <w:r>
        <w:t xml:space="preserve">Phụ lục B — Coding Protocol (7 Moderators)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0"/>
    <w:bookmarkStart w:id="61" w:name="X7c237a5c4c47e789bd5b92143b9e566ca6940a1"/>
    <w:p>
      <w:pPr>
        <w:pStyle w:val="Heading3"/>
      </w:pPr>
      <w:r>
        <w:t xml:space="preserve">Phụ lục C — Consistency Check: MetaEssentials vs</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w:t>
            </w:r>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 REML/DL khác biệt nhỏ</w:t>
            </w:r>
          </w:p>
        </w:tc>
      </w:tr>
      <w:tr>
        <w:tc>
          <w:tcPr/>
          <w:p>
            <w:pPr>
              <w:pStyle w:val="Compact"/>
              <w:jc w:val="left"/>
            </w:pPr>
            <m:oMath>
              <m:r>
                <m:t>Q</m:t>
              </m:r>
            </m:oMath>
            <w:r>
              <w:t xml:space="preserve">-statistic</w:t>
            </w:r>
          </w:p>
        </w:tc>
        <w:tc>
          <w:tcPr/>
          <w:p>
            <w:pPr>
              <w:pStyle w:val="Compact"/>
              <w:jc w:val="left"/>
            </w:pPr>
            <w:r>
              <w:t xml:space="preserve">1,247.3</w:t>
            </w:r>
          </w:p>
        </w:tc>
        <w:tc>
          <w:tcPr/>
          <w:p>
            <w:pPr>
              <w:pStyle w:val="Compact"/>
              <w:jc w:val="left"/>
            </w:pPr>
            <w:r>
              <w:t xml:space="preserve">~1,240 [minh họa]</w:t>
            </w:r>
          </w:p>
        </w:tc>
        <w:tc>
          <w:tcPr/>
          <w:p>
            <w:pPr>
              <w:pStyle w:val="Compact"/>
              <w:jc w:val="left"/>
            </w:pPr>
            <m:oMath>
              <m:r>
                <m:rPr>
                  <m:sty m:val="p"/>
                </m:rPr>
                <m:t>&lt;</m:t>
              </m:r>
              <m:r>
                <m:t>1</m:t>
              </m:r>
              <m:r>
                <m:rPr>
                  <m:sty m:val="p"/>
                </m:rPr>
                <m:t>%</m:t>
              </m:r>
            </m:oMath>
            <w:r>
              <w:t xml:space="preserve"> </w:t>
            </w:r>
            <w:r>
              <w:t xml:space="preserve">sai số —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v2.4 (24/05/2026). NCS: Đỗ Thùy Hương. HD: PGS.TS. Phan Anh Tú. Trường Đại học Cần Thơ. Trường Kinh tế. Chuyên ngành: Quản trị kinh doanh. Kết quả Mục 4 từ</w:t>
      </w:r>
      <w:r>
        <w:rPr>
          <w:iCs/>
          <w:i/>
        </w:rPr>
        <w:t xml:space="preserve"> </w:t>
      </w:r>
      <w:r>
        <w:rPr>
          <w:rStyle w:val="VerbatimChar"/>
          <w:iCs/>
          <w:i/>
        </w:rPr>
        <w:t xml:space="preserve">p6_real_mara.py</w:t>
      </w:r>
      <w:r>
        <w:rPr>
          <w:iCs/>
          <w:i/>
        </w:rPr>
        <w:t xml:space="preserve">/</w:t>
      </w:r>
      <w:r>
        <w:rPr>
          <w:rStyle w:val="VerbatimChar"/>
          <w:iCs/>
          <w:i/>
        </w:rPr>
        <w:t xml:space="preserve">p6_real_mara.R</w:t>
      </w:r>
      <w:r>
        <w:rPr>
          <w:iCs/>
          <w:i/>
        </w:rPr>
        <w:t xml:space="preserve"> </w:t>
      </w:r>
      <w:r>
        <w:rPr>
          <w:iCs/>
          <w:i/>
        </w:rPr>
        <w:t xml:space="preserve">(K=288, k=238, coded baseline đã xác minh). Database canonical:</w:t>
      </w:r>
      <w:r>
        <w:rPr>
          <w:iCs/>
          <w:i/>
        </w:rPr>
        <w:t xml:space="preserve"> </w:t>
      </w:r>
      <w:r>
        <w:rPr>
          <w:rStyle w:val="VerbatimChar"/>
          <w:iCs/>
          <w:i/>
        </w:rPr>
        <w:t xml:space="preserve">p6/data/p6_study_database.csv</w:t>
      </w:r>
      <w:r>
        <w:rPr>
          <w:iCs/>
          <w:i/>
        </w:rPr>
        <w:t xml:space="preserve"> </w:t>
      </w:r>
      <w:r>
        <w:rPr>
          <w:iCs/>
          <w:i/>
        </w:rPr>
        <w:t xml:space="preserve">(k=238, K=288 effect sizes, hand-coded baseline).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canonical tracker v3:</w:t>
      </w:r>
      <w:r>
        <w:rPr>
          <w:iCs/>
          <w:i/>
        </w:rPr>
        <w:t xml:space="preserve"> </w:t>
      </w:r>
      <w:r>
        <w:rPr>
          <w:rStyle w:val="VerbatimChar"/>
          <w:iCs/>
          <w:i/>
        </w:rPr>
        <w:t xml:space="preserve">p6/tools/results/fulltext_to_extraction_tracker_v3.csv</w:t>
      </w:r>
      <w:r>
        <w:rPr>
          <w:iCs/>
          <w:i/>
        </w:rPr>
        <w:t xml:space="preserve">. OSF pre-registration: https://osf.io/z37kn (DOI: 10.17605/OSF.IO/Z37KN). Corpus chính: chỉ peer-reviewed journal articles + articles in press với DOI; luận án và working papers ghi nhận trong PRISMA flow nhưng không đưa vào phân tích chính.</w:t>
      </w:r>
    </w:p>
    <w:bookmarkEnd w:id="61"/>
    <w:bookmarkEnd w:id="62"/>
    <w:bookmarkEnd w:id="6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2026-05-28T17:31:15Z</dcterms:created>
  <dcterms:modified xsi:type="dcterms:W3CDTF">2026-05-28T17:31:15Z</dcterms:modified>
</cp:coreProperties>
</file>

<file path=docProps/custom.xml><?xml version="1.0" encoding="utf-8"?>
<Properties xmlns="http://schemas.openxmlformats.org/officeDocument/2006/custom-properties" xmlns:vt="http://schemas.openxmlformats.org/officeDocument/2006/docPropsVTypes"/>
</file>