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 như ở các Quốc đảo nhỏ đang phát triển (Small Island Developing States — SIDS) ở Thái Bình Dương — mô hình phi tuyến tính kỳ vọng sụp đổ thành quan hệ âm đơn điệu mà chúng tôi gọi là</w:t>
      </w:r>
      <w:r>
        <w:t xml:space="preserve"> </w:t>
      </w:r>
      <w:r>
        <w:rPr>
          <w:bCs/>
          <w:b/>
        </w:rPr>
        <w:t xml:space="preserve">Gánh nặng quốc tế hóa bắt buộc (Forced Internationalization Penalty —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Sử dụng dữ liệu Khảo sát Doanh nghiệp của Ngân hàng Thế giới (World Bank Enterprise Survey — WBES) từ 1.469 doanh nghiệp thuộc chín nền kinh tế SIDS Thái Bình Dương (2009–2025), chúng tôi phát hiện rằng cường độ quốc tế hóa có quan hệ âm và vững chắc với năng suất lao động (β = −0,404, p = 0,032 trong mô hình hiệu ứng cố định quốc gia-năm; β = −1,236, p &lt; 0,001 khi không có hiệu ứng cố định quốc gia), không có độ cong bậc hai có ý nghĩa thống kê.</w:t>
      </w:r>
    </w:p>
    <w:p>
      <w:pPr>
        <w:pStyle w:val="BodyText"/>
      </w:pPr>
      <w:r>
        <w:t xml:space="preserve">Năng lực công nghệ và mức độ áp dụng số — cả hai đều là biến điều tiết có ý nghĩa trong bối cảnh châu Á đại lục —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 âm và có ý nghĩa thống kê; Lind–Mehlum xác nhận quan hệ âm đơn điệu.</w:t>
      </w:r>
    </w:p>
    <w:p>
      <w:pPr>
        <w:numPr>
          <w:ilvl w:val="0"/>
          <w:numId w:val="1001"/>
        </w:numPr>
        <w:pStyle w:val="Compact"/>
      </w:pPr>
      <w:r>
        <w:t xml:space="preserve">Không tìm thấy điểm ngưỡng trong phạm vi quan sát —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giới-thiệu"/>
    <w:p>
      <w:pPr>
        <w:pStyle w:val="Heading2"/>
      </w:pPr>
      <w:r>
        <w:t xml:space="preserve">1. Giới Thiệu</w:t>
      </w:r>
    </w:p>
    <w:bookmarkStart w:id="22" w:name="bối-cảnh-và-vấn-đề-nghiên-cứu"/>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 IB). Các phân tích tổng hợp nhất quán báo cáo tác động dương tích cực trung bình (Kirca et al., 2011; Bausch &amp; Krist, 2007), nhưng phương sai giữa các nghiên cứu rất lớn và không đồng nhất —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 đặc trưng của các Quốc đảo nhỏ đang phát triển (SIDS) —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bối-cảnh-sids-và-lý-do-chọn"/>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 nghèo đói, tuổi thọ, giáo dục, bình đẳng giới, khí hậu, và điện —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 quốc tế hóa vì sinh tồn — thay đổi cơ bản logic của quan hệ I-P.</w:t>
      </w:r>
    </w:p>
    <w:bookmarkEnd w:id="23"/>
    <w:bookmarkStart w:id="24" w:name="đóng-góp-của-bài-báo"/>
    <w:p>
      <w:pPr>
        <w:pStyle w:val="Heading3"/>
      </w:pPr>
      <w:r>
        <w:t xml:space="preserve">1.3 Đóng Góp của Bài Báo</w:t>
      </w:r>
    </w:p>
    <w:p>
      <w:pPr>
        <w:pStyle w:val="FirstParagraph"/>
      </w:pPr>
      <w:r>
        <w:t xml:space="preserve">Bài báo này có ba đóng góp vào các nghiên cứu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 Zaheer, 1995), và khởi nghiệp bắt buộc (necessity entrepreneurship — Sarasvathy et al., 2014).</w:t>
      </w:r>
    </w:p>
    <w:p>
      <w:pPr>
        <w:pStyle w:val="BodyText"/>
      </w:pPr>
      <w:r>
        <w:t xml:space="preserve">Thứ hai, chúng tôi cung cấp bằng chứng thực nghiệm từ 1.469 doanh nghiệp thuộc chín nền kinh tế SIDS Thái Bình Dương bằng dữ liệu WBES — phân tích I-P cấp doanh nghiệp toàn diện nhất tại SIDS Thái Bình Dương cho đến nay.</w:t>
      </w:r>
    </w:p>
    <w:p>
      <w:pPr>
        <w:pStyle w:val="BodyText"/>
      </w:pPr>
      <w:r>
        <w:t xml:space="preserve">Thứ ba, chúng tôi ghi lại rằng năng lực cấp doanh nghiệp (Chỉ số năng lực công nghệ — TCI, Chỉ số áp dụng số — DAI) không có khả năng vượt qua FIP, chuyển hướng cuộc thảo luận lý thuyết từ</w:t>
      </w:r>
      <w:r>
        <w:t xml:space="preserve"> </w:t>
      </w:r>
      <w:r>
        <w:t xml:space="preserve">“</w:t>
      </w:r>
      <w:r>
        <w:t xml:space="preserve">điều tiết thể chế của quan hệ I-P</w:t>
      </w:r>
      <w:r>
        <w:t xml:space="preserve">”</w:t>
      </w:r>
      <w:r>
        <w:t xml:space="preserve"> </w:t>
      </w:r>
      <w:r>
        <w:t xml:space="preserve">(Marano, Tallman, &amp; Teece, 2016) sang</w:t>
      </w:r>
      <w:r>
        <w:t xml:space="preserve"> </w:t>
      </w:r>
      <w:r>
        <w:t xml:space="preserve">“</w:t>
      </w:r>
      <w:r>
        <w:t xml:space="preserve">quyết định thể chế về dấu của quan hệ I-P.</w:t>
      </w:r>
      <w:r>
        <w:t xml:space="preserve">”</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khung-lý-thuyết-và-giả-thuyết"/>
    <w:p>
      <w:pPr>
        <w:pStyle w:val="Heading2"/>
      </w:pPr>
      <w:r>
        <w:t xml:space="preserve">2. Khung Lý Thuyết và Giả Thuyết</w:t>
      </w:r>
    </w:p>
    <w:bookmarkStart w:id="26" w:name="X331ae0cc3d4d05570cc29c7c2805a342ced525d"/>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 thường được ước tính trong khoảng 30% đến 70% doanh số nước ngoài trên tổng doanh số (cường độ xuất khẩu — Foreign Sales to Total Sales — FSTS) —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 quá nhỏ để hỗ trợ quy mô hiệu quả tối thiểu cho ngay cả các hoạt động cơ bản — doanh nghiệp bị ép buộc về mặt cấu trúc phải xuất khẩu bất kể sự sẵn sàng chiến lược hay năng lực. Giả định</w:t>
      </w:r>
      <w:r>
        <w:t xml:space="preserve"> </w:t>
      </w:r>
      <w:r>
        <w:t xml:space="preserve">“</w:t>
      </w:r>
      <w:r>
        <w:t xml:space="preserve">lựa chọn xuất khẩu</w:t>
      </w:r>
      <w:r>
        <w:t xml:space="preserve">”</w:t>
      </w:r>
      <w:r>
        <w:t xml:space="preserve"> </w:t>
      </w:r>
      <w:r>
        <w:t xml:space="preserve">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các nghiên cứu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 thiếu vắng các trung gian tài chính, thực thi hợp đồng không đáng tin cậy, hạ tầng thuận lợi thương mại hạn chế — không chỉ làm suy yếu đường cong hình chữ U ngược; chúng có thể loại bỏ hoàn toàn cơ chế tạo ra lợi nhuận dương từ quốc tế hóa.</w:t>
      </w:r>
    </w:p>
    <w:bookmarkEnd w:id="26"/>
    <w:bookmarkStart w:id="27" w:name="X576c2a3e630ba92ef18bfdd434b45922985c9a6"/>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bối-cảnh-sids-và-quốc-tế-hóa-vì-sinh-tồn"/>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 thước đo tiêu chuẩn của cường độ quốc tế hóa —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 cho thấy Gánh nặng quốc tế hóa bắt buộc chứ không phải quan hệ hình chữ U ngược.</w:t>
      </w:r>
    </w:p>
    <w:bookmarkEnd w:id="28"/>
    <w:bookmarkStart w:id="29" w:name="vai-trò-của-năng-lực-cấp-doanh-nghiệp"/>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 TCI) (Lall, 1992; Goedhuys &amp; Sleuwaegen, 2013) và Chỉ số áp dụng số (Digital Adoption Index — DAI) (Teece, 2007) được chứng minh là dịch chuyển đường cong I-P lên phía trên — cho phép doanh nghiệp đạt hiệu quả tốt hơn ở bất kỳ mức độ quốc tế hóa nào —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 Hai nhãn lý thuyết làm rõ điều này. Thứ nhất, độ dốc âm là một</w:t>
      </w:r>
      <w:r>
        <w:t xml:space="preserve"> </w:t>
      </w:r>
      <w:r>
        <w:rPr>
          <w:bCs/>
          <w:b/>
        </w:rPr>
        <w:t xml:space="preserve">thuế trừng phạt của sự cô lập (isolation penalty)</w:t>
      </w:r>
      <w:r>
        <w:t xml:space="preserve"> </w:t>
      </w:r>
      <w:r>
        <w:t xml:space="preserve">— một dạng chi phí giao dịch do cô lập địa lý (transaction cost of isolation) áp lên mọi giao dịch xuyên biên giới (mức khuếch đại chi phí thương mại 30–210%), mà doanh nghiệp buộc phải xuất khẩu phải gánh chịu vĩnh viễn chứ không thể khấu hao đi. Thứ hai, lá chắn số chỉ phát huy tác dụng khi có một hạ tầng thanh toán và logistics tối thiểu để vận hành; trong điều kiện</w:t>
      </w:r>
      <w:r>
        <w:t xml:space="preserve"> </w:t>
      </w:r>
      <w:r>
        <w:rPr>
          <w:bCs/>
          <w:b/>
        </w:rPr>
        <w:t xml:space="preserve">khoảng trống thể chế cực hạn (extreme institutional void)</w:t>
      </w:r>
      <w:r>
        <w:t xml:space="preserve"> </w:t>
      </w:r>
      <w:r>
        <w:t xml:space="preserve">đặc trưng của SIDS, hạ tầng ấy gần như vắng mặt, nên năng lực số không thể thay thế cho thể chế và hạ tầng vật lý còn thiếu.</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 các quan sát có giá trị không thiếu về năng suất lao động, cường độ xuất khẩu, và tuổi doanh nghiệp — bao gồm</w:t>
      </w:r>
      <w:r>
        <w:t xml:space="preserve"> </w:t>
      </w:r>
      <w:r>
        <w:rPr>
          <w:bCs/>
          <w:b/>
        </w:rPr>
        <w:t xml:space="preserve">1.469 doanh nghiệp</w:t>
      </w:r>
      <w:r>
        <w:t xml:space="preserve"> </w:t>
      </w:r>
      <w:r>
        <w:t xml:space="preserve">trên nhiều đợt quốc gia-năm.</w:t>
      </w:r>
    </w:p>
    <w:bookmarkEnd w:id="31"/>
    <w:bookmarkStart w:id="32" w:name="đo-lường-biến"/>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w:t>
      </w:r>
      <w:r>
        <w:t xml:space="preserve">— bước đầu tiên của sự hiện diện số. Thước đo này phù hợp với bối cảnh SIDS nơi hạ tầng số tiên tiến còn hạn chế —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pct" w:w="5000"/>
        <w:tblLook w:firstRow="1" w:lastRow="0" w:firstColumn="0" w:lastColumn="0" w:noHBand="0" w:noVBand="0" w:val="0020"/>
        <w:jc w:val="start"/>
      </w:tblPr>
      <w:tblGrid>
        <w:gridCol w:w="896"/>
        <w:gridCol w:w="1494"/>
        <w:gridCol w:w="2241"/>
        <w:gridCol w:w="3287"/>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chuỗi-mô-hình"/>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 kiểm định FIP)</w:t>
      </w:r>
      <w:r>
        <w:t xml:space="preserve">:</w:t>
      </w:r>
      <w:r>
        <w:t xml:space="preserve"> </w:t>
      </w:r>
      <w:r>
        <w:t xml:space="preserve">ln_LP_it = α + β₁ FSTS_c_it + γ, X_it + δ_c + λ_t + ε_it</w:t>
      </w:r>
    </w:p>
    <w:p>
      <w:pPr>
        <w:pStyle w:val="BodyText"/>
      </w:pPr>
      <w:r>
        <w:rPr>
          <w:bCs/>
          <w:b/>
        </w:rPr>
        <w:t xml:space="preserve">M2 (FSTS bậc hai — kiểm định độ cong)</w:t>
      </w:r>
      <w:r>
        <w:t xml:space="preserve">:</w:t>
      </w:r>
      <w:r>
        <w:t xml:space="preserve"> </w:t>
      </w:r>
      <w:r>
        <w:t xml:space="preserve">ln_LP_it = α + β₁ FSTS_c_it + β₂ FSTS_c²_it + γ, X_it + δ_c + λ_t + ε_it</w:t>
      </w:r>
    </w:p>
    <w:p>
      <w:pPr>
        <w:pStyle w:val="BodyText"/>
      </w:pPr>
      <w:r>
        <w:rPr>
          <w:bCs/>
          <w:b/>
        </w:rPr>
        <w:t xml:space="preserve">M3 (năng lực — kiểm định null điều tiết)</w:t>
      </w:r>
      <w:r>
        <w:t xml:space="preserve">:</w:t>
      </w:r>
      <w:r>
        <w:t xml:space="preserve"> </w:t>
      </w:r>
      <w:r>
        <w:t xml:space="preserve">ln_LP_it = α + β₁ FSTS_c_it + β₂ FSTS_c²_it + β₃ TCI_z_it + β₄ DAI_z_it + γ, 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kiểm-định-vững"/>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kết-quả"/>
    <w:p>
      <w:pPr>
        <w:pStyle w:val="Heading2"/>
      </w:pPr>
      <w:r>
        <w:t xml:space="preserve">4. Kết Quả</w:t>
      </w:r>
    </w:p>
    <w:bookmarkStart w:id="36" w:name="mô-tả-mẫu-và-bằng-chứng-sơ-bộ"/>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xác nhận rằng 95% phương sai năng suất được giải thích là giữa các quốc gia — một đặc điểm phù hợp với tính không đồng nhất cực cao giữa các quốc gia về chất lượng thể chế, sự xa xôi địa lý, và cấu trúc kinh tế.</w:t>
      </w:r>
    </w:p>
    <w:bookmarkEnd w:id="36"/>
    <w:bookmarkStart w:id="37" w:name="X0c7d52d87451ac538bfc6453aff89d058f28879"/>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694775a26665a75d8926e28ad176efdc2247f54"/>
    <w:p>
      <w:pPr>
        <w:pStyle w:val="Heading3"/>
      </w:pPr>
      <w:r>
        <w:t xml:space="preserve">4.3 Dạng Âm Đơn Điệu: Không Có Độ Cong (H1 —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 —</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 —</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 —</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 —</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kiểm-định-vững-1"/>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 có thể hấp thụ quá nhiều biến thiên cấu trúc —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 đặc điểm của cơ chế FIP chứ không phải lựa chọn bất lợi.</w:t>
      </w:r>
    </w:p>
    <w:bookmarkEnd w:id="39"/>
    <w:bookmarkStart w:id="40" w:name="kết-quả-null-năng-lực-h2"/>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w:t>
      </w:r>
      <w:r>
        <w:t xml:space="preserve"> </w:t>
      </w:r>
      <w:r>
        <w:t xml:space="preserve">“</w:t>
      </w:r>
      <w:r>
        <w:t xml:space="preserve">năng lực số động</w:t>
      </w:r>
      <w:r>
        <w:t xml:space="preserve">”</w:t>
      </w:r>
      <w:r>
        <w:t xml:space="preserve"> </w:t>
      </w:r>
      <w:r>
        <w:t xml:space="preserve">mà chỉ là proxy sự hiện diện trang web nền tảng Tầng 1. Các ước lượng điểm dương — mặc dù nhỏ và không có ý nghĩa thống kê —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tóm-tắt-kết-quả"/>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và (iv) điều tiết năng lực null (M3: TCI_z p = 0,495; DAI_z p = 0,402).</w:t>
      </w:r>
    </w:p>
    <w:p>
      <w:r>
        <w:pict>
          <v:rect style="width:0;height:1.5pt" o:hralign="center" o:hrstd="t" o:hr="t"/>
        </w:pict>
      </w:r>
    </w:p>
    <w:bookmarkEnd w:id="41"/>
    <w:bookmarkEnd w:id="42"/>
    <w:bookmarkStart w:id="48" w:name="thảo-luận"/>
    <w:p>
      <w:pPr>
        <w:pStyle w:val="Heading2"/>
      </w:pPr>
      <w:r>
        <w:t xml:space="preserve">5. Thảo Luận</w:t>
      </w:r>
    </w:p>
    <w:bookmarkStart w:id="43" w:name="X76ee6495fe9e4dff85c3cfafd588df0227c7509"/>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 các doanh nghiệp không thể tích lũy tài nguyên căn cứ nội địa và năng lực tổ chức để tài trợ và duy trì quốc tế hóa có lợi nhuận. Khi chi phí thương mại khuếch đại</w:t>
      </w:r>
      <w:r>
        <w:t xml:space="preserve"> </w:t>
      </w:r>
      <w:r>
        <w:t xml:space="preserve">“</w:t>
      </w:r>
      <w:r>
        <w:t xml:space="preserve">chi phí kinh doanh</w:t>
      </w:r>
      <w:r>
        <w:t xml:space="preserve">”</w:t>
      </w:r>
      <w:r>
        <w:t xml:space="preserve"> </w:t>
      </w:r>
      <w:r>
        <w:t xml:space="preserve">của doanh thu xuất khẩu lên 30–210% (Winters &amp; Martins, 2004), kinh tế học biên của xuất khẩu là âm ngay từ đầu. Khi khoảng trống thể chế là toàn diện — thiếu vắng các trung gian tài trợ thương mại, thực thi hợp đồng không đáng tin cậy, hạ tầng tiêu chuẩn hạn chế —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các nghiên cứu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điều kiện tiền đề bị vi phạm,</w:t>
      </w:r>
      <w:r>
        <w:t xml:space="preserve">”</w:t>
      </w:r>
      <w:r>
        <w:t xml:space="preserve"> </w:t>
      </w:r>
      <w:r>
        <w:t xml:space="preserve">dấu — không chỉ biên độ — của quan hệ I-P đảo ngược.</w:t>
      </w:r>
    </w:p>
    <w:bookmarkEnd w:id="43"/>
    <w:bookmarkStart w:id="44" w:name="định-vị-lý-thuyết-từ-mức-độ-sang-loại"/>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 nơi tất cả ba điều kiện tiền đề cấu trúc đồng thời vắng mặt — hình thức hàm I-P không phải là hình chữ U ngược được sửa đổi mà là một mô hình định tính khác (quan hệ âm đơn điệu). Điều này mở rộng vốn từ lý thuyết của nghiên cứu IB vượt ra ngoài</w:t>
      </w:r>
      <w:r>
        <w:t xml:space="preserve"> </w:t>
      </w:r>
      <w:r>
        <w:t xml:space="preserve">“</w:t>
      </w:r>
      <w:r>
        <w:t xml:space="preserve">điều tiết cường độ</w:t>
      </w:r>
      <w:r>
        <w:t xml:space="preserve">”</w:t>
      </w:r>
      <w:r>
        <w:t xml:space="preserve"> </w:t>
      </w:r>
      <w:r>
        <w:t xml:space="preserve">sang</w:t>
      </w:r>
      <w:r>
        <w:t xml:space="preserve"> </w:t>
      </w:r>
      <w:r>
        <w:t xml:space="preserve">“</w:t>
      </w:r>
      <w:r>
        <w:t xml:space="preserve">điều tiết sự tồn tại</w:t>
      </w:r>
      <w:r>
        <w:t xml:space="preserve">”</w:t>
      </w:r>
      <w:r>
        <w:t xml:space="preserve"> </w:t>
      </w:r>
      <w:r>
        <w:t xml:space="preserve">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 không chỉ cần điều chỉnh, mà đại diện cho một chế độ lý thuyết định tính khác. FIP cung cấp một nhãn hiệu có cơ sở lý thuyết cho chế độ thay thế đó.</w:t>
      </w:r>
    </w:p>
    <w:bookmarkEnd w:id="44"/>
    <w:bookmarkStart w:id="45" w:name="Xffb3790cfc1510b1585366123128c8253f9e1d6"/>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 Việt Nam, Singapore, Trung Quốc, và các mẫu đa quốc gia —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w:t>
      </w:r>
      <w:r>
        <w:t xml:space="preserve"> </w:t>
      </w:r>
      <w:r>
        <w:t xml:space="preserve">“</w:t>
      </w:r>
      <w:r>
        <w:t xml:space="preserve">mắc kẹt</w:t>
      </w:r>
      <w:r>
        <w:t xml:space="preserve">”</w:t>
      </w:r>
      <w:r>
        <w:t xml:space="preserve"> </w:t>
      </w:r>
      <w:r>
        <w:t xml:space="preserve">trong doanh nghiệp, không thể chuyển hóa thành lợi thế hiệu quả thông qua các giao dịch thị trường quốc tế.</w:t>
      </w:r>
    </w:p>
    <w:p>
      <w:pPr>
        <w:pStyle w:val="BodyText"/>
      </w:pPr>
      <w:r>
        <w:t xml:space="preserve">Các ước lượng điểm dương — mặc dù không có ý nghĩa thống kê — cho TCI_z và DAI_z gợi ý rằng các năng lực nâng cao mức năng suất chung (nhất quán với vai trò của chúng trong các nghiên cứu rộng hơn), nhưng không thể điều chỉnh tính âm hướng của quan hệ FSTS–hiệu quả trong bối cảnh cấu trúc SIDS. Sự tinh tế này — các năng lực giúp mức, không phải độ dốc — có thể là một hướng nghiên cứu SIDS trong tương lai có tiềm năng.</w:t>
      </w:r>
    </w:p>
    <w:bookmarkEnd w:id="45"/>
    <w:bookmarkStart w:id="46" w:name="X473ba15979b586934000dc68b899a5ae32fd4f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 được thông qua tại Hội nghị Quốc tế thứ tư về SIDS —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 mà không đồng thời giải quyết các điều kiện tiền đề cấu trúc bị vi phạm —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 các cơ quan tiêu chuẩn, trung gian tài trợ thương mại, cơ quan xúc tiến xuất khẩu với năng lực thực sự —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 các điều kiện vắng mặt trong bối cảnh SIDS.</w:t>
      </w:r>
    </w:p>
    <w:bookmarkEnd w:id="46"/>
    <w:bookmarkStart w:id="47" w:name="hạn-chế"/>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 có sẵn cho Fiji và Papua New Guinea với hai đợt —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 các vi quốc gia Sahara, các nền kinh tế cao nguyên xa xôi, các bối cảnh hậu xung đột —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kết-luận"/>
    <w:p>
      <w:pPr>
        <w:pStyle w:val="Heading2"/>
      </w:pPr>
      <w:r>
        <w:t xml:space="preserve">6. Kết Luận</w:t>
      </w:r>
    </w:p>
    <w:p>
      <w:pPr>
        <w:pStyle w:val="FirstParagraph"/>
      </w:pPr>
      <w:r>
        <w:t xml:space="preserve">Chúng tôi giới thiệu Gánh nặng quốc tế hóa bắt buộc (Forced Internationalization Penalty — FIP) —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 không có điểm ngưỡng trong phạm vi quan sát. Chỉ số năng lực công nghệ (TCI) và Chỉ số áp dụng số (DAI) — có ý nghĩa thống kê trong các bối cảnh châu Á đại lục —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w:t>
      </w:r>
      <w:r>
        <w:t xml:space="preserve"> </w:t>
      </w:r>
      <w:r>
        <w:t xml:space="preserve">“</w:t>
      </w:r>
      <w:r>
        <w:t xml:space="preserve">điều tiết thể chế cường độ I-P</w:t>
      </w:r>
      <w:r>
        <w:t xml:space="preserve">”</w:t>
      </w:r>
      <w:r>
        <w:t xml:space="preserve"> </w:t>
      </w:r>
      <w:r>
        <w:t xml:space="preserve">sang</w:t>
      </w:r>
      <w:r>
        <w:t xml:space="preserve"> </w:t>
      </w:r>
      <w:r>
        <w:t xml:space="preserve">“</w:t>
      </w:r>
      <w:r>
        <w:t xml:space="preserve">quyết định thể chế dấu I-P,</w:t>
      </w:r>
      <w:r>
        <w:t xml:space="preserve">”</w:t>
      </w:r>
      <w:r>
        <w:t xml:space="preserve"> </w:t>
      </w:r>
      <w:r>
        <w:t xml:space="preserve">gợi ý rằng hình chữ U ngược có thể có điều kiện trên các điều kiện tiền đề cấu trúc thay vì áp dụng rộng rãi trên các bối cảnh. Thứ hai, chúng mở rộng ứng dụng</w:t>
      </w:r>
      <w:r>
        <w:t xml:space="preserve"> </w:t>
      </w:r>
      <w:r>
        <w:t xml:space="preserve">“</w:t>
      </w:r>
      <w:r>
        <w:t xml:space="preserve">quốc tế hóa bắt buộc</w:t>
      </w:r>
      <w:r>
        <w:t xml:space="preserve">”</w:t>
      </w:r>
      <w:r>
        <w:t xml:space="preserve"> </w:t>
      </w:r>
      <w:r>
        <w:t xml:space="preserve">vượt ra ngoài các nghiên cứu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 không chỉ tăng cường hoạt động xuất khẩu như vậy.</w:t>
      </w:r>
    </w:p>
    <w:p>
      <w:r>
        <w:pict>
          <v:rect style="width:0;height:1.5pt" o:hralign="center" o:hrstd="t" o:hr="t"/>
        </w:pict>
      </w:r>
    </w:p>
    <w:bookmarkEnd w:id="49"/>
    <w:bookmarkStart w:id="50"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0"/>
    <w:bookmarkStart w:id="54" w:name="phụ-lục-a-bảng-số-liệu"/>
    <w:p>
      <w:pPr>
        <w:pStyle w:val="Heading2"/>
      </w:pPr>
      <w:r>
        <w:t xml:space="preserve">Phụ Lục A: Bảng Số Liệu</w:t>
      </w:r>
    </w:p>
    <w:bookmarkStart w:id="51" w:name="bảng-1.-thống-kê-tóm-tắt-cấp-quốc-gia"/>
    <w:p>
      <w:pPr>
        <w:pStyle w:val="Heading3"/>
      </w:pPr>
      <w:r>
        <w:t xml:space="preserve">Bảng 1. Thống Kê Tóm Tắt Cấp Quốc Gia</w:t>
      </w:r>
    </w:p>
    <w:tbl>
      <w:tblPr>
        <w:tblStyle w:val="Table"/>
        <w:tblW w:type="pct" w:w="5000"/>
        <w:tblLook w:firstRow="1" w:lastRow="0" w:firstColumn="0" w:lastColumn="0" w:noHBand="0" w:noVBand="0" w:val="0020"/>
        <w:jc w:val="start"/>
      </w:tblPr>
      <w:tblGrid>
        <w:gridCol w:w="1061"/>
        <w:gridCol w:w="1388"/>
        <w:gridCol w:w="1224"/>
        <w:gridCol w:w="1714"/>
        <w:gridCol w:w="1388"/>
        <w:gridCol w:w="1143"/>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1"/>
    <w:bookmarkStart w:id="52" w:name="X75e62bac0c01aee2a59b5d414dacebd0c6e7883"/>
    <w:p>
      <w:pPr>
        <w:pStyle w:val="Heading3"/>
      </w:pPr>
      <w:r>
        <w:t xml:space="preserve">Bảng 2. Kết Quả Hồi Quy: Cường Độ Quốc Tế Hóa và Năng Suất Lao Động</w:t>
      </w:r>
    </w:p>
    <w:tbl>
      <w:tblPr>
        <w:tblStyle w:val="Table"/>
        <w:tblW w:type="pct" w:w="5000"/>
        <w:tblLook w:firstRow="1" w:lastRow="0" w:firstColumn="0" w:lastColumn="0" w:noHBand="0" w:noVBand="0" w:val="0020"/>
        <w:jc w:val="start"/>
      </w:tblPr>
      <w:tblGrid>
        <w:gridCol w:w="205"/>
        <w:gridCol w:w="1440"/>
        <w:gridCol w:w="1542"/>
        <w:gridCol w:w="1234"/>
        <w:gridCol w:w="1337"/>
        <w:gridCol w:w="925"/>
        <w:gridCol w:w="1234"/>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 β(FSTS_c) = −0,404, p = 0,032 (M1).</w:t>
      </w:r>
    </w:p>
    <w:bookmarkEnd w:id="52"/>
    <w:bookmarkStart w:id="53" w:name="Xae3260bb28490aa37a133dd81c00d188b04417a"/>
    <w:p>
      <w:pPr>
        <w:pStyle w:val="Heading3"/>
      </w:pPr>
      <w:r>
        <w:t xml:space="preserve">Bảng 3. Kiểm Định Vững: Mẫu Con Chỉ Nhà Xuất Khẩu (N = 187)</w:t>
      </w:r>
    </w:p>
    <w:tbl>
      <w:tblPr>
        <w:tblStyle w:val="Table"/>
        <w:tblW w:type="pct" w:w="5000"/>
        <w:tblLook w:firstRow="1" w:lastRow="0" w:firstColumn="0" w:lastColumn="0" w:noHBand="0" w:noVBand="0" w:val="0020"/>
        <w:jc w:val="start"/>
      </w:tblPr>
      <w:tblGrid>
        <w:gridCol w:w="1377"/>
        <w:gridCol w:w="1893"/>
        <w:gridCol w:w="860"/>
        <w:gridCol w:w="1721"/>
        <w:gridCol w:w="2066"/>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 nhóm thể chế yếu nhất/nhỏ nhất</w:t>
      </w:r>
    </w:p>
    <w:bookmarkEnd w:id="53"/>
    <w:bookmarkEnd w:id="54"/>
    <w:bookmarkEnd w:id="5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2026-05-28T17:32:15Z</dcterms:created>
  <dcterms:modified xsi:type="dcterms:W3CDTF">2026-05-28T17:32:15Z</dcterms:modified>
</cp:coreProperties>
</file>

<file path=docProps/custom.xml><?xml version="1.0" encoding="utf-8"?>
<Properties xmlns="http://schemas.openxmlformats.org/officeDocument/2006/custom-properties" xmlns:vt="http://schemas.openxmlformats.org/officeDocument/2006/docPropsVTypes"/>
</file>