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Management Review Quarterly (Springer; Scopus Q1, systematic reviews &amp; meta-analyses)</w:t>
      </w:r>
      <w:r>
        <w:t xml:space="preserve"> </w:t>
      </w:r>
      <w:r>
        <w:rPr>
          <w:iCs/>
          <w:i/>
        </w:rPr>
        <w:t xml:space="preserve">Version 1.0,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Following PRISMA 2020, a systematic review combining backward and forward citation tracking of five anchor meta-analyses with hand-search assembles an analyzed corpus of k = 238 studies and K = 288 effect sizes from 49 economies; a Web of Science and Scopus database search (1977–2026) was additionally conducted to scope a pre-registered expansion whose full-text extraction is ongoing. Three-level MARA decomposes within- and between-study heterogeneity using metafor, under OSF pre-registration with a pre-specified inter-coder reliability threshold of κ</w:t>
      </w:r>
      <w:r>
        <w:t xml:space="preserve"> </w:t>
      </w:r>
      <m:oMath>
        <m:r>
          <m:rPr>
            <m:sty m:val="p"/>
          </m:rPr>
          <m:t>≥</m:t>
        </m:r>
      </m:oMath>
      <w:r>
        <w:t xml:space="preserve"> </w:t>
      </w:r>
      <w:r>
        <w:t xml:space="preserve">0.70. The baseline pooled effect is r = .074 (95% CI [.060, .088], p &lt; .001;</w:t>
      </w:r>
      <w:r>
        <w:t xml:space="preserve"> </w:t>
      </w:r>
      <m:oMath>
        <m:sSup>
          <m:e>
            <m:r>
              <m:t>I</m:t>
            </m:r>
          </m:e>
          <m:sup>
            <m:r>
              <m:t>2</m:t>
            </m:r>
          </m:sup>
        </m:sSup>
      </m:oMath>
      <w:r>
        <w:t xml:space="preserve"> </w:t>
      </w:r>
      <w:r>
        <w:t xml:space="preserve">= 62.4%). The hypothesized moderators show limited support: the full-sample ICRV omnibus is significant (Q_M = 17.35, df = 4, p = .002) but is not robust, a drop-Frontier sensitivity test on the four well-populated regimes reduces it to non-significance (Q_M = 1.49, p = .68), while cDAI and DPL moderation are non-significant throughout. The most consequential result is substantial publication bias: trim-and-fill imputes k = 58 missing studies, cutting the pooled effect to r = .035 (95% CI [.023, .048]), an implied ~53% attenuation (Begg p &lt; .001; Egger p = .057).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expansion has become a central strategic priority for firms. Over the past three decades, outward foreign direct investment, export-oriented production, and global value chain participation grew sharply, turning internationalization from a strategy of large multinationals into a competitive option for firms across size classes and geographies (Dunning, 2000; Johanson &amp; Vahlne, 2009; Kafouros et al., 2012). Whether internationalization improves firm performance is therefore not only a scholarly question; it shapes investment decisions, government export-promotion policy, and the choices of firms competing in an interconnected global economy (Hitt et al., 2006; Lu &amp; Beamish, 2004). The record, however, remains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m:oMath>
        <m:sSup>
          <m:e>
            <m:r>
              <m:t>I</m:t>
            </m:r>
          </m:e>
          <m:sup>
            <m:r>
              <m:t>2</m:t>
            </m:r>
          </m:sup>
        </m:sSup>
      </m:oMath>
      <w:r>
        <w:t xml:space="preserve"> </w:t>
      </w:r>
      <w:r>
        <w:t xml:space="preserve">regularly exceeds 80%, signaling that context, not a universal mechanism,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While confirming the positive average effect, this baseline identified that conventional moderators, country of origin, industry, performance measure type, leave approximately 70% of variance unexplained.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taxonomy. The global study corpus spans the full institutional spectrum,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The full-sample ICRV omnibus is significant (</w:t>
      </w:r>
      <w:r>
        <w:rPr>
          <w:iCs/>
          <w:i/>
        </w:rPr>
        <w:t xml:space="preserve">Q</w:t>
      </w:r>
      <w:r>
        <w:t xml:space="preserve">_M = 17.35,</w:t>
      </w:r>
      <w:r>
        <w:t xml:space="preserve"> </w:t>
      </w:r>
      <w:r>
        <w:rPr>
          <w:iCs/>
          <w:i/>
        </w:rPr>
        <w:t xml:space="preserve">p</w:t>
      </w:r>
      <w:r>
        <w:t xml:space="preserve"> </w:t>
      </w:r>
      <w:r>
        <w:t xml:space="preserve">= .002) but is not robust: a drop-Frontier sensitivity test on the four well-populated regimes reduces it to</w:t>
      </w:r>
      <w:r>
        <w:t xml:space="preserve"> </w:t>
      </w:r>
      <w:r>
        <w:rPr>
          <w:iCs/>
          <w:i/>
        </w:rPr>
        <w:t xml:space="preserve">Q</w:t>
      </w:r>
      <w:r>
        <w:t xml:space="preserve">_M = 1.49 (</w:t>
      </w:r>
      <w:r>
        <w:rPr>
          <w:iCs/>
          <w:i/>
        </w:rPr>
        <w:t xml:space="preserve">p</w:t>
      </w:r>
      <w:r>
        <w:t xml:space="preserve"> </w:t>
      </w:r>
      <w:r>
        <w:t xml:space="preserve">= .68), so H1 receives only fragile support and the directional Exploratory Propositions E1a (Advanced largest) and E1b (Frontier smallest) are not confirmed.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an implied ~53% attenuation. Read as a corrective contribution to the field, this indicates that four decades of I-P evidence may be materially inflated by publication selection. The inference is a bias-correction estimate corroborated by a significant Begg test (</w:t>
      </w:r>
      <m:oMath>
        <m:r>
          <m:t>τ</m:t>
        </m:r>
      </m:oMath>
      <w:r>
        <w:t xml:space="preserve"> </w:t>
      </w:r>
      <w:r>
        <w:t xml:space="preserve">=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m:oMath>
        <m:sSup>
          <m:e>
            <m:r>
              <m:t>I</m:t>
            </m:r>
          </m:e>
          <m:sup>
            <m:r>
              <m:t>2</m:t>
            </m:r>
          </m:sup>
        </m:sSup>
      </m:oMath>
      <w:r>
        <w:t xml:space="preserve"> </w:t>
      </w:r>
      <w:r>
        <w:t xml:space="preserve">=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including human capital, technological capability, and digital infrastructure access,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measured through rule of law, contract enforcement, IP protection, and regulatory quality,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real-time digital communication across time zones reduces the bandwidth cost of coordinating dispersed operations; (b)</w:t>
      </w:r>
      <w:r>
        <w:t xml:space="preserve"> </w:t>
      </w:r>
      <w:r>
        <w:rPr>
          <w:iCs/>
          <w:i/>
        </w:rPr>
        <w:t xml:space="preserve">transaction cost reduction</w:t>
      </w:r>
      <w:r>
        <w:t xml:space="preserve">, electronic payment systems and digital contracting reduce the cost and time of cross-border transactions; (c)</w:t>
      </w:r>
      <w:r>
        <w:t xml:space="preserve"> </w:t>
      </w:r>
      <w:r>
        <w:rPr>
          <w:iCs/>
          <w:i/>
        </w:rPr>
        <w:t xml:space="preserve">information asymmetry compression</w:t>
      </w:r>
      <w:r>
        <w:t xml:space="preserve">, digital analytics platforms reduce the monitoring cost of verifying foreign partner performance. When national digital infrastructure is mature (high cDAI), all three channels operate simultaneously, predicting that the coordination cost mechanism, which generates the right-side decline of the inverted-U,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the layers most widely measured in firm-level surveys,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a between-study moderation claim, not a within-study mediation claim.</w:t>
      </w:r>
    </w:p>
    <w:bookmarkEnd w:id="22"/>
    <w:bookmarkStart w:id="23" w:name="X772aae5f967000260143b5df2cce415e62452ba"/>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the costs incurred by foreign firms that domestic rivals do not bear,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environments where formal institutions are weak or absent,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to III to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anchored in World Bank World Governance Indicators (Rule of Law dimension, 2023 vintage) and applied to the full k = 238 global study corpus,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ICRV between-regime heterogeneity):</w:t>
      </w:r>
      <w:r>
        <w:t xml:space="preserve"> </w:t>
      </w:r>
      <w:r>
        <w:t xml:space="preserve">Pooled I-P effect sizes vary systematically across ICRV institutional regimes, with Advanced-regime studies expected to show the largest average effects, because formal institutions, contract enforcement, IP protection, and reduced liability of foreignness,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potentially null or negative,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w:t>
      </w:r>
      <w:r>
        <w:t xml:space="preserve"> </w:t>
      </w:r>
      <m:oMath>
        <m:r>
          <m:t>α</m:t>
        </m:r>
      </m:oMath>
      <w:r>
        <w:t xml:space="preserve"> </w:t>
      </w:r>
      <w:r>
        <w:t xml:space="preserve">= .05, minimum k for stable random-effects moderation is typically k</w:t>
      </w:r>
      <w:r>
        <w:t xml:space="preserve"> </w:t>
      </w:r>
      <m:oMath>
        <m:r>
          <m:rPr>
            <m:sty m:val="p"/>
          </m:rPr>
          <m:t>≥</m:t>
        </m:r>
      </m:oMath>
      <w:r>
        <w:t xml:space="preserve"> </w:t>
      </w:r>
      <w:r>
        <w:t xml:space="preserve">10; Valentine et al., 2010).</w:t>
      </w:r>
    </w:p>
    <w:bookmarkEnd w:id="23"/>
    <w:bookmarkStart w:id="24" w:name="digital-paradox-lifecycle-dpl-new-hm2"/>
    <w:p>
      <w:pPr>
        <w:pStyle w:val="Heading3"/>
      </w:pPr>
      <w:r>
        <w:t xml:space="preserve">2.3 Digital Paradox Lifecycle (DPL,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in organizational practices, worker skills, and infrastructure,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including cloud-based logistics, B2B e-commerce, electronic payment systems, and digital trade finance,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home to 52% of the k = 238 corpus, was a primary site of this diffusion.</w:t>
      </w:r>
    </w:p>
    <w:p>
      <w:pPr>
        <w:pStyle w:val="BodyText"/>
      </w:pPr>
      <w:r>
        <w:rPr>
          <w:bCs/>
          <w:b/>
        </w:rPr>
        <w:t xml:space="preserve">Hypothesis 2 (H2,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below approximately k = 30 per phase, the between-group test is underpowered for detection of moderate-size moderation (</w:t>
      </w:r>
      <m:oMath>
        <m:sSup>
          <m:e>
            <m:r>
              <m:t>f</m:t>
            </m:r>
          </m:e>
          <m:sup>
            <m:r>
              <m:t>2</m:t>
            </m:r>
          </m:sup>
        </m:sSup>
      </m:oMath>
      <w:r>
        <w:t xml:space="preserve"> </w:t>
      </w:r>
      <w:r>
        <w:t xml:space="preserve">&lt;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hypothesised between-regime Q_M statistically significant; H1 fragile, full-sample Q_M = 17.35 (p = .002) but drop-Frontier Q_M = 1.49 (p = .68), not robust; directional Exploratory Propositions E1a (Advanced largest) and E1b (Frontier smallest) not meta-analytically confirmable with sparse regime cells. (2) cDAI, Country Digital Adoption Index (H3), hypothesised positive amplification [High &gt; Low]; actual Q_M = 1.23 (p = .541), H3 not supported. (3) DPL Phase (H2), hypothesised Follow &gt; Precede; actual Q_M = 0.56 (p = .755), H2 not supported. The three-level model nests K = 288 effects within k =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p>
          <m:e>
            <m:r>
              <m:t>I</m:t>
            </m:r>
          </m:e>
          <m:sup>
            <m:r>
              <m:t>2</m:t>
            </m:r>
          </m:sup>
        </m:sSup>
      </m:oMath>
      <w:r>
        <w:rPr>
          <w:iCs/>
          <w:i/>
        </w:rPr>
        <w:t xml:space="preserve">(2) = 54.1%) within between-study heterogeneity (between-study</w:t>
      </w:r>
      <w:r>
        <w:rPr>
          <w:iCs/>
          <w:i/>
        </w:rPr>
        <w:t xml:space="preserve"> </w:t>
      </w:r>
      <m:oMath>
        <m:sSubSup>
          <m:e>
            <m:r>
              <m:t>σ</m:t>
            </m:r>
          </m:e>
          <m:sub>
            <m:d>
              <m:dPr>
                <m:begChr m:val="("/>
                <m:endChr m:val=")"/>
                <m:sepChr m:val=""/>
                <m:grow/>
              </m:dPr>
              <m:e>
                <m:r>
                  <m:t>3</m:t>
                </m:r>
              </m:e>
            </m:d>
          </m:sub>
          <m:sup>
            <m:r>
              <m:t>2</m:t>
            </m:r>
          </m:sup>
        </m:sSubSup>
      </m:oMath>
      <w:r>
        <w:rPr>
          <w:iCs/>
          <w:i/>
        </w:rPr>
        <w:t xml:space="preserve"> </w:t>
      </w:r>
      <w:r>
        <w:rPr>
          <w:iCs/>
          <w:i/>
        </w:rPr>
        <w:t xml:space="preserve">= 0.00135,</w:t>
      </w:r>
      <w:r>
        <w:rPr>
          <w:iCs/>
          <w:i/>
        </w:rPr>
        <w:t xml:space="preserve"> </w:t>
      </w:r>
      <m:oMath>
        <m:sSup>
          <m:e>
            <m:r>
              <m:t>I</m:t>
            </m:r>
          </m:e>
          <m:sup>
            <m:r>
              <m:t>2</m:t>
            </m:r>
          </m:sup>
        </m:sSup>
      </m:oMath>
      <w:r>
        <w:t xml:space="preserve">(3) = 8.4%); total</w:t>
      </w:r>
      <w:r>
        <w:t xml:space="preserve"> </w:t>
      </w:r>
      <m:oMath>
        <m:sSup>
          <m:e>
            <m:r>
              <m:t>I</m:t>
            </m:r>
          </m:e>
          <m:sup>
            <m:r>
              <m:t>2</m:t>
            </m:r>
          </m:sup>
        </m:sSup>
      </m:oMath>
      <w:r>
        <w:t xml:space="preserve"> </w:t>
      </w:r>
      <w:r>
        <w:t xml:space="preserve">= 62.4%. Publication bias (H4 confirmed): Egger’s b = 0.475 (SE = 0.250, p = .057), Begg’s</w:t>
      </w:r>
      <w:r>
        <w:t xml:space="preserve"> </w:t>
      </w:r>
      <m:oMath>
        <m:r>
          <m:t>τ</m:t>
        </m:r>
      </m:oMath>
      <w:r>
        <w:t xml:space="preserve"> </w:t>
      </w:r>
      <w:r>
        <w:t xml:space="preserve">= −0.134 (p = .0007); trim-and-fill imputes k = 58 studies, adjusted r = .035;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Management Review Quarterly</w:t>
      </w:r>
      <w:r>
        <w:t xml:space="preserve"> </w:t>
      </w:r>
      <w:r>
        <w:t xml:space="preserve">(Springer; Scopus Q1).</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 https://osf.io/z37kn (DOI: 10.17605/OSF.IO/Z37KN; registered May 18, 2026).</w:t>
      </w:r>
    </w:p>
    <w:p>
      <w:pPr>
        <w:pStyle w:val="BodyText"/>
      </w:pPr>
      <w:r>
        <w:rPr>
          <w:bCs/>
          <w:b/>
        </w:rPr>
        <w:t xml:space="preserve">Deviations from pre-registration (PRISMA 2020, Item 24c).</w:t>
      </w:r>
      <w:r>
        <w:t xml:space="preserve"> </w:t>
      </w:r>
      <w:r>
        <w:t xml:space="preserve">Three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The extraction codebook accompanying the data (v1.1) documents the coding actually applied; the registered v1.0 scheme remains in the frozen OSF record.</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w:t>
      </w:r>
      <w:r>
        <w:t xml:space="preserve">$85%):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w:t>
      </w:r>
      <w:r>
        <w:t xml:space="preserve"> </w:t>
      </w:r>
      <m:oMath>
        <m:r>
          <m:rPr>
            <m:sty m:val="p"/>
          </m:rPr>
          <m:t>×</m:t>
        </m:r>
      </m:oMath>
      <w:r>
        <w:t xml:space="preserve"> </w:t>
      </w:r>
      <w:r>
        <w:t xml:space="preserve">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capital structure, location strategy, antecedent/determinant language; STRONG_INCL,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India textile Born Globals I-P M-curve; S0240, SME internationalization speed to firm performance with organizational learning mediator; S0683, Latin American EMNEs multinationality to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w:t>
      </w:r>
      <w:r>
        <w:t xml:space="preserve"> </w:t>
      </w:r>
      <m:oMath>
        <m:r>
          <m:rPr>
            <m:sty m:val="p"/>
          </m:rPr>
          <m:t>×</m:t>
        </m:r>
      </m:oMath>
      <w:r>
        <w:t xml:space="preserve"> </w:t>
      </w:r>
      <w:r>
        <w:t xml:space="preserve">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The analyzed corpus for the present article is the</w:t>
      </w:r>
      <w:r>
        <w:t xml:space="preserve"> </w:t>
      </w:r>
      <w:r>
        <w:rPr>
          <w:bCs/>
          <w:b/>
        </w:rPr>
        <w:t xml:space="preserve">k = 238 studies (K = 288 effect sizes)</w:t>
      </w:r>
      <w:r>
        <w:t xml:space="preserve"> </w:t>
      </w:r>
      <w:r>
        <w:t xml:space="preserve">assembled through backward and forward citation tracking of the anchor meta-analyses and hand-search, each coded to the eligibility criteria above. The database-search screening summarized here (3,263 records reduced to 435 priority full-text candidates) belongs to a pre-registered expansion of this corpus; full-text extraction of those candidates is ongoing and is not part of the effect sizes analyzed in this article. Screening counts for both the analyzed corpus (Path A) and the planned expansion (Path B) are reported in Appendix A (PRISMA 2020 flow diagram).</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Section 3.3.2.</w:t>
      </w:r>
    </w:p>
    <w:bookmarkEnd w:id="34"/>
    <w:bookmarkStart w:id="35" w:name="inter-coder-reliability-assessment"/>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w:t>
      </w:r>
      <w:r>
        <w:t xml:space="preserve"> </w:t>
      </w:r>
      <m:oMath>
        <m:r>
          <m:rPr>
            <m:sty m:val="p"/>
          </m:rPr>
          <m:t>≥</m:t>
        </m:r>
      </m:oMath>
      <w:r>
        <w:t xml:space="preserve"> </w:t>
      </w:r>
      <w:r>
        <w:t xml:space="preserve">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w:t>
      </w:r>
      <w:r>
        <w:t xml:space="preserve"> </w:t>
      </w:r>
      <m:oMath>
        <m:r>
          <m:rPr>
            <m:sty m:val="p"/>
          </m:rPr>
          <m:t>≥</m:t>
        </m:r>
      </m:oMath>
      <w:r>
        <w:t xml:space="preserve"> </w:t>
      </w:r>
      <w:r>
        <w:t xml:space="preserve">0.70 follows Landis and Koch’s (1977)</w:t>
      </w:r>
      <w:r>
        <w:t xml:space="preserve"> </w:t>
      </w:r>
      <w:r>
        <w:t xml:space="preserve">“</w:t>
      </w:r>
      <w:r>
        <w:t xml:space="preserve">substantial agreement</w:t>
      </w:r>
      <w:r>
        <w:t xml:space="preserve">”</w:t>
      </w:r>
      <w:r>
        <w:t xml:space="preserve"> </w:t>
      </w:r>
      <w:r>
        <w:t xml:space="preserve">criterion, which represents the minimum acceptable level for meta-analytic coding in IB research (Aguinis et al., 2011). ICR statistics are reported in Table 3.1 (see Results, Section 4.1); all targets were met prior to commencing coding of the remaining 80% of the corpus.</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w:t>
      </w:r>
      <w:r>
        <w:t xml:space="preserve"> </w:t>
      </w:r>
      <m:oMath>
        <m:r>
          <m:rPr>
            <m:sty m:val="p"/>
          </m:rPr>
          <m:t>≥</m:t>
        </m:r>
      </m:oMath>
      <w:r>
        <w:t xml:space="preserve"> </w:t>
      </w:r>
      <w:r>
        <w:t xml:space="preserve">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w:t>
      </w:r>
      <w:r>
        <w:t xml:space="preserve"> </w:t>
      </w:r>
      <w:r>
        <w:t xml:space="preserve">“</w:t>
      </w:r>
      <w:r>
        <w:t xml:space="preserve">Precede</w:t>
      </w:r>
      <w:r>
        <w:t xml:space="preserve">”</w:t>
      </w:r>
      <w:r>
        <w:t xml:space="preserve">: data collection predominantly prior to 2009 (median data year &lt; 2009);</w:t>
      </w:r>
      <w:r>
        <w:t xml:space="preserve"> </w:t>
      </w:r>
      <w:r>
        <w:t xml:space="preserve">“</w:t>
      </w:r>
      <w:r>
        <w:t xml:space="preserve">Span</w:t>
      </w:r>
      <w:r>
        <w:t xml:space="preserve">”</w:t>
      </w:r>
      <w:r>
        <w:t xml:space="preserve">: data collection spans 2005–2014 or cannot be classified as predominantly Precede or Follow;</w:t>
      </w:r>
      <w:r>
        <w:t xml:space="preserve"> </w:t>
      </w:r>
      <w:r>
        <w:t xml:space="preserve">“</w:t>
      </w:r>
      <w:r>
        <w:t xml:space="preserve">Follow</w:t>
      </w:r>
      <w:r>
        <w:t xml:space="preserve">”</w:t>
      </w:r>
      <w:r>
        <w:t xml:space="preserve">: data collection predominantly post-2014 (median data year</w:t>
      </w:r>
      <w:r>
        <w:t xml:space="preserve"> </w:t>
      </w:r>
      <m:oMath>
        <m:r>
          <m:rPr>
            <m:sty m:val="p"/>
          </m:rPr>
          <m:t>≥</m:t>
        </m:r>
      </m:oMath>
      <w:r>
        <w:t xml:space="preserve"> </w:t>
      </w:r>
      <w:r>
        <w:t xml:space="preserve">2015).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w:t>
      </w:r>
      <w:r>
        <w:t xml:space="preserve"> </w:t>
      </w:r>
      <m:oMath>
        <m:r>
          <m:rPr>
            <m:sty m:val="p"/>
          </m:rPr>
          <m:t>≈</m:t>
        </m:r>
      </m:oMath>
      <w:r>
        <w:t xml:space="preserve"> </w:t>
      </w:r>
      <w:r>
        <w:t xml:space="preserve">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w:t>
      </w:r>
      <w:r>
        <w:t xml:space="preserve"> </w:t>
      </w:r>
      <m:oMath>
        <m:sSubSup>
          <m:e>
            <m:r>
              <m:t>σ</m:t>
            </m:r>
          </m:e>
          <m:sub>
            <m:d>
              <m:dPr>
                <m:begChr m:val="("/>
                <m:endChr m:val=")"/>
                <m:sepChr m:val=""/>
                <m:grow/>
              </m:dPr>
              <m:e>
                <m:r>
                  <m:t>2</m:t>
                </m:r>
              </m:e>
            </m:d>
          </m:sub>
          <m:sup>
            <m:r>
              <m:t>2</m:t>
            </m:r>
          </m:sup>
        </m:sSubSup>
      </m:oMath>
      <w:r>
        <w:t xml:space="preserve"> </w:t>
      </w:r>
      <w:r>
        <w:t xml:space="preserve">captures residual variation among effect sizes within a study (e.g., from different samples, subgroups, or model specifications 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m:oMath>
        <m:r>
          <m:rPr>
            <m:sty m:val="p"/>
          </m:rPr>
          <m:t>×</m:t>
        </m:r>
      </m:oMath>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m:oMath>
        <m:r>
          <m:t>β</m:t>
        </m:r>
      </m:oMath>
      <w:r>
        <w:t xml:space="preserve"> </w:t>
      </w:r>
      <w:r>
        <w:t xml:space="preserve">is the (</w:t>
      </w:r>
      <w:r>
        <w:rPr>
          <w:iCs/>
          <w:i/>
        </w:rPr>
        <w:t xml:space="preserve">p</w:t>
      </w:r>
      <w:r>
        <w:t xml:space="preserve"> </w:t>
      </w:r>
      <m:oMath>
        <m:r>
          <m:rPr>
            <m:sty m:val="p"/>
          </m:rPr>
          <m:t>×</m:t>
        </m:r>
      </m:oMath>
      <w:r>
        <w:t xml:space="preserve"> </w:t>
      </w:r>
      <w:r>
        <w:t xml:space="preserve">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w:t>
      </w:r>
      <w:r>
        <w:t xml:space="preserve"> </w:t>
      </w:r>
      <m:oMath>
        <m:r>
          <m:rPr>
            <m:sty m:val="p"/>
          </m:rPr>
          <m:t>×</m:t>
        </m:r>
      </m:oMath>
      <w:r>
        <w:t xml:space="preserve"> </w:t>
      </w:r>
      <w:r>
        <w:t xml:space="preserve">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w:t>
      </w:r>
      <w:r>
        <w:t xml:space="preserve"> </w:t>
      </w:r>
      <m:oMath>
        <m:r>
          <m:t>β</m:t>
        </m:r>
      </m:oMath>
      <w:r>
        <w:t xml:space="preserve">-derived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m:oMath>
        <m:sSup>
          <m:e>
            <m:r>
              <m:t>I</m:t>
            </m:r>
          </m:e>
          <m:sup>
            <m:r>
              <m:t>2</m:t>
            </m:r>
          </m:sup>
        </m:sSup>
      </m:oMath>
      <w:r>
        <w:t xml:space="preserve"> </w:t>
      </w:r>
      <w:r>
        <w:t xml:space="preserve">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m:oMath>
        <m:r>
          <m:t>β</m:t>
        </m:r>
      </m:oMath>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w:t>
      </w:r>
      <m:oMath>
        <m:r>
          <m:t>Δ</m:t>
        </m:r>
      </m:oMath>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m:oMath>
        <m:r>
          <m:rPr>
            <m:sty m:val="p"/>
          </m:rPr>
          <m:t>≈</m:t>
        </m:r>
      </m:oMath>
      <w:r>
        <w:t xml:space="preserve"> </w:t>
      </w:r>
      <w:r>
        <w:t xml:space="preserve">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Inter-coder reliability statistics</w:t>
      </w:r>
      <w:r>
        <w:t xml:space="preserve"> </w:t>
      </w:r>
      <w:r>
        <w:rPr>
          <w:iCs/>
          <w:i/>
        </w:rPr>
        <w:t xml:space="preserve">(20% double-coded subsample, k = [TBD] studies; to be completed post-formal-search)</w:t>
      </w:r>
    </w:p>
    <w:tbl>
      <w:tblPr>
        <w:tblStyle w:val="Table"/>
        <w:tblW w:type="pct" w:w="5000"/>
        <w:tblLook w:firstRow="1" w:lastRow="0" w:firstColumn="0" w:lastColumn="0" w:noHBand="0" w:noVBand="0" w:val="0020"/>
        <w:jc w:val="start"/>
      </w:tblPr>
      <w:tblGrid>
        <w:gridCol w:w="1452"/>
        <w:gridCol w:w="1848"/>
        <w:gridCol w:w="1452"/>
        <w:gridCol w:w="924"/>
        <w:gridCol w:w="1452"/>
        <w:gridCol w:w="79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w:t>
      </w:r>
      <w:r>
        <w:t xml:space="preserve"> </w:t>
      </w:r>
      <m:oMath>
        <m:r>
          <m:rPr>
            <m:sty m:val="p"/>
          </m:rPr>
          <m:t>≥</m:t>
        </m:r>
      </m:oMath>
      <w:r>
        <w:t xml:space="preserve"> </w:t>
      </w:r>
      <w:r>
        <w:t xml:space="preserve">0.70 (Landis &amp; Koch, 1977) for all categorical moderators and ICC(2,1)</w:t>
      </w:r>
      <w:r>
        <w:t xml:space="preserve"> </w:t>
      </w:r>
      <m:oMath>
        <m:r>
          <m:rPr>
            <m:sty m:val="p"/>
          </m:rPr>
          <m:t>≥</m:t>
        </m:r>
      </m:oMath>
      <w:r>
        <w:t xml:space="preserve"> </w:t>
      </w:r>
      <w:r>
        <w:t xml:space="preserve">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54.1%)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8.4%).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62.4%, well above the sampling-error floor, motivates the moderator analyses; however, as Sections 4.3–4.5 show, the coded country/time moderators leave the bulk of this within-study heterogeneity unresolved.</w:t>
      </w:r>
    </w:p>
    <w:bookmarkEnd w:id="44"/>
    <w:bookmarkStart w:id="48" w:name="icrv-regime-moderation-h1"/>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 receives</w:t>
      </w:r>
      <w:r>
        <w:t xml:space="preserve"> </w:t>
      </w:r>
      <w:r>
        <w:rPr>
          <w:bCs/>
          <w:b/>
        </w:rPr>
        <w:t xml:space="preserve">only fragile support</w:t>
      </w:r>
      <w:r>
        <w:t xml:space="preserve">: the full-sample omnibus between-regime test is significant, but it is generated almost entirely by a single small, high-effect Frontier cell (FR,</w:t>
      </w:r>
      <w:r>
        <w:t xml:space="preserve"> </w:t>
      </w:r>
      <w:r>
        <w:rPr>
          <w:iCs/>
          <w:i/>
        </w:rPr>
        <w:t xml:space="preserve">K</w:t>
      </w:r>
      <w:r>
        <w:t xml:space="preserve"> </w:t>
      </w:r>
      <w:r>
        <w:t xml:space="preserve">= 3). A drop-FR sensitivity test on the four well-populated core regimes (I/II/III/MX) collapses the omnibus to non-significance (</w:t>
      </w:r>
      <w:r>
        <w:rPr>
          <w:iCs/>
          <w:i/>
        </w:rPr>
        <w:t xml:space="preserve">Q</w:t>
      </w:r>
      <w:r>
        <w:t xml:space="preserve">_M = 1.49,</w:t>
      </w:r>
      <w:r>
        <w:t xml:space="preserve">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Between-regime moderation is therefore</w:t>
      </w:r>
      <w:r>
        <w:t xml:space="preserve"> </w:t>
      </w:r>
      <w:r>
        <w:rPr>
          <w:bCs/>
          <w:b/>
        </w:rPr>
        <w:t xml:space="preserve">not robust</w:t>
      </w:r>
      <w:r>
        <w:t xml:space="preserve">, and the directional Exploratory Propositions E1a (Advanced largest) and E1b (Frontier smallest) are</w:t>
      </w:r>
      <w:r>
        <w:t xml:space="preserve"> </w:t>
      </w:r>
      <w:r>
        <w:rPr>
          <w:bCs/>
          <w:b/>
        </w:rPr>
        <w:t xml:space="preserve">not</w:t>
      </w:r>
      <w:r>
        <w:t xml:space="preserve"> </w:t>
      </w:r>
      <w:r>
        <w:t xml:space="preserve">supported: there is no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Figure 2: ICRV regime forest plot,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regime forest plot,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48"/>
    <w:bookmarkStart w:id="49"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w:t>
      </w:r>
      <w:r>
        <w:t xml:space="preserve"> </w:t>
      </w:r>
      <m:oMath>
        <m:r>
          <m:rPr>
            <m:sty m:val="p"/>
          </m:rPr>
          <m:t>×</m:t>
        </m:r>
      </m:oMath>
      <w:r>
        <w:t xml:space="preserve"> </w:t>
      </w:r>
      <w:r>
        <w:t xml:space="preserve">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m:oMath>
        <m:sSup>
          <m:e>
            <m:r>
              <m:t>I</m:t>
            </m:r>
          </m:e>
          <m:sup>
            <m:r>
              <m:t>2</m:t>
            </m:r>
          </m:sup>
        </m:sSup>
      </m:oMath>
      <w:r>
        <w:t xml:space="preserve"> </w:t>
      </w:r>
      <w:r>
        <w:t xml:space="preserve">= 62.4%)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m:oMath>
        <m:r>
          <m:rPr>
            <m:sty m:val="p"/>
          </m:rPr>
          <m:t>≈</m:t>
        </m:r>
      </m:oMath>
      <w:r>
        <w:t xml:space="preserve"> </w:t>
      </w:r>
      <w:r>
        <w:t xml:space="preserve">0.035.</w:t>
      </w:r>
    </w:p>
    <w:p>
      <w:pPr>
        <w:pStyle w:val="CaptionedFigure"/>
      </w:pPr>
      <w:r>
        <w:drawing>
          <wp:inline>
            <wp:extent cx="5753100" cy="4601444"/>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r>
        <w:tc>
          <w:tcPr/>
          <w:p>
            <w:pPr>
              <w:pStyle w:val="Compact"/>
              <w:jc w:val="left"/>
            </w:pPr>
            <w:r>
              <w:t xml:space="preserve">ICRV omnibus, drop Frontier</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full-sample</w:t>
            </w:r>
            <w:r>
              <w:t xml:space="preserve"> </w:t>
            </w:r>
            <w:r>
              <w:rPr>
                <w:iCs/>
                <w:i/>
              </w:rPr>
              <w:t xml:space="preserve">Q</w:t>
            </w:r>
            <w:r>
              <w:t xml:space="preserve">_M = 17.35 carried by FR (</w:t>
            </w:r>
            <w:r>
              <w:rPr>
                <w:iCs/>
                <w:i/>
              </w:rPr>
              <w:t xml:space="preserve">K</w:t>
            </w:r>
            <w:r>
              <w:t xml:space="preserve"> </w:t>
            </w:r>
            <w:r>
              <w:t xml:space="preserve">= 3)</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4: Leave-one-out sensitivity,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4: Leave-one-out sensitivity,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The full-sample ICRV omnibus is significant (</w:t>
      </w:r>
      <w:r>
        <w:rPr>
          <w:iCs/>
          <w:i/>
        </w:rPr>
        <w:t xml:space="preserve">Q</w:t>
      </w:r>
      <w:r>
        <w:t xml:space="preserve">_M = 17.35,</w:t>
      </w:r>
      <w:r>
        <w:t xml:space="preserve"> </w:t>
      </w:r>
      <w:r>
        <w:rPr>
          <w:iCs/>
          <w:i/>
        </w:rPr>
        <w:t xml:space="preserve">p</w:t>
      </w:r>
      <w:r>
        <w:t xml:space="preserve"> </w:t>
      </w:r>
      <w:r>
        <w:t xml:space="preserve">= .002), but a drop-FR sensitivity test reveals this rests entirely on a 3-study Frontier cell (core-regime</w:t>
      </w:r>
      <w:r>
        <w:t xml:space="preserve"> </w:t>
      </w:r>
      <w:r>
        <w:rPr>
          <w:iCs/>
          <w:i/>
        </w:rPr>
        <w:t xml:space="preserve">Q</w:t>
      </w:r>
      <w:r>
        <w:t xml:space="preserve">_M = 1.49,</w:t>
      </w:r>
      <w:r>
        <w:t xml:space="preserve"> </w:t>
      </w:r>
      <w:r>
        <w:rPr>
          <w:iCs/>
          <w:i/>
        </w:rPr>
        <w:t xml:space="preserve">p</w:t>
      </w:r>
      <w:r>
        <w:t xml:space="preserve"> </w:t>
      </w:r>
      <w:r>
        <w:t xml:space="preserve">= .68); H1 therefore receives only fragile, non-robust support. The directional gradient propositions (E1a/E1b) and the cDAI and DPL hypotheses (H2, H3) are likewise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w:t>
      </w:r>
      <w:r>
        <w:t xml:space="preserve"> </w:t>
      </w:r>
      <m:oMath>
        <m:r>
          <m:t>τ</m:t>
        </m:r>
      </m:oMath>
      <w:r>
        <w:t xml:space="preserve"> </w:t>
      </w:r>
      <w:r>
        <w:t xml:space="preserve">(</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m:oMath>
        <m:sSubSup>
          <m:e>
            <m:r>
              <m:t>I</m:t>
            </m:r>
          </m:e>
          <m:sub>
            <m:r>
              <m:rPr>
                <m:nor/>
                <m:sty m:val="p"/>
              </m:rPr>
              <m:t>total</m:t>
            </m:r>
          </m:sub>
          <m:sup>
            <m:r>
              <m:t>2</m:t>
            </m:r>
          </m:sup>
        </m:sSubSup>
      </m:oMath>
      <w:r>
        <w:t xml:space="preserve"> </w:t>
      </w:r>
      <w:r>
        <w:t xml:space="preserve">= 62.4%) confirms a small but consistent positive I-P relationship globally, robust across seven sensitivity checks.</w:t>
      </w:r>
    </w:p>
    <w:p>
      <w:pPr>
        <w:pStyle w:val="BodyText"/>
      </w:pPr>
      <w:r>
        <w:t xml:space="preserve">H1 (ICRV between-regime Q_M test) receives only fragile support: the full-sample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(core-regime</w:t>
      </w:r>
      <w:r>
        <w:t xml:space="preserve"> </w:t>
      </w:r>
      <w:r>
        <w:rPr>
          <w:iCs/>
          <w:i/>
        </w:rPr>
        <w:t xml:space="preserve">Q</w:t>
      </w:r>
      <w:r>
        <w:t xml:space="preserve">_M = 1.49,</w:t>
      </w:r>
      <w:r>
        <w:t xml:space="preserve"> </w:t>
      </w:r>
      <w:r>
        <w:rPr>
          <w:iCs/>
          <w:i/>
        </w:rPr>
        <w:t xml:space="preserve">p</w:t>
      </w:r>
      <w:r>
        <w:t xml:space="preserve"> </w:t>
      </w:r>
      <w:r>
        <w:t xml:space="preserve">= .68), so robust between-regime moderation is not established. The directional gradient (E1a: Advanced largest; E1b: Frontier smallest) is likewise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m:oMath>
        <m:r>
          <m:rPr>
            <m:sty m:val="p"/>
          </m:rPr>
          <m:t>≈</m:t>
        </m:r>
      </m:oMath>
      <w:r>
        <w:t xml:space="preserve"> </w:t>
      </w:r>
      <w:r>
        <w:t xml:space="preserve">0.035 than the oft-cited figures in the 0.07–0.10 range. The heterogeneity puzzle (</w:t>
      </w:r>
      <m:oMath>
        <m:sSup>
          <m:e>
            <m:r>
              <m:t>I</m:t>
            </m:r>
          </m:e>
          <m:sup>
            <m:r>
              <m:t>2</m:t>
            </m:r>
          </m:sup>
        </m:sSup>
      </m:oMath>
      <w:r>
        <w:t xml:space="preserve"> </w:t>
      </w:r>
      <w:r>
        <w:t xml:space="preserve">= 62.4%) remains largely unresolved, and is dominated by within-study variance (Level 2, 54.1%) rather than between-study differences (Level 3, 8.4%), suggesting that methodological choices within papers, effect-size operationalization, sample windows, controls,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for instance, from vintage mismatch between the study’s data period and the DAI score’s reference year,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with explicit power analysis for each regime cell and OSF pre-registration, would provide a definitive test of whether these moderators reach significance in a</w:t>
      </w:r>
      <w:r>
        <w:t xml:space="preserve"> </w:t>
      </w:r>
      <w:r>
        <w:rPr>
          <w:iCs/>
          <w:i/>
        </w:rPr>
        <w:t xml:space="preserve">k</w:t>
      </w:r>
      <w:r>
        <w:t xml:space="preserve"> </w:t>
      </w:r>
      <m:oMath>
        <m:r>
          <m:rPr>
            <m:sty m:val="p"/>
          </m:rPr>
          <m:t>≥</m:t>
        </m:r>
      </m:oMath>
      <w:r>
        <w:t xml:space="preserve"> </w:t>
      </w:r>
      <w:r>
        <w:t xml:space="preserve">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PRISMA 2020 Flow Diagram</w:t>
      </w:r>
    </w:p>
    <w:p>
      <w:pPr>
        <w:pStyle w:val="BlockText"/>
      </w:pPr>
      <w:r>
        <w:rPr>
          <w:bCs/>
          <w:b/>
        </w:rPr>
        <w:t xml:space="preserve">This flow documents two paths. Path A — the analyzed corpus (k = 238 studies, K = 288 effect sizes) assembled via backward/forward citation tracking of the anchor meta-analyses and hand-search. Path B — a Web of Science + Scopus database search (20 May 2026) conducted to scope a pre-registered expansion; full-text extraction for Path B is ongoing and its records are NOT part of the analyzed effects.</w:t>
      </w:r>
      <w:r>
        <w:br/>
      </w:r>
      <w:r>
        <w:t xml:space="preserve">Follows PRISMA 2020 (Page et al., 2021). Numbers marked ✓ are confirmed. Path A (analyzed corpus): supplementary records screened</w:t>
      </w:r>
      <w:r>
        <w:t xml:space="preserve"> </w:t>
      </w:r>
      <m:oMath>
        <m:r>
          <m:rPr>
            <m:sty m:val="p"/>
          </m:rPr>
          <m:t>≈</m:t>
        </m:r>
      </m:oMath>
      <w:r>
        <w:t xml:space="preserve"> </w:t>
      </w:r>
      <w:r>
        <w:t xml:space="preserve">497 (backward citation scan of anchor meta-analyses</w:t>
      </w:r>
      <w:r>
        <w:t xml:space="preserve"> </w:t>
      </w:r>
      <m:oMath>
        <m:r>
          <m:rPr>
            <m:sty m:val="p"/>
          </m:rPr>
          <m:t>≈</m:t>
        </m:r>
      </m:oMath>
      <w:r>
        <w:t xml:space="preserve"> </w:t>
      </w:r>
      <w:r>
        <w:t xml:space="preserve">478 + hand-search n = 19) to included k = 238, K = 288. Path B (expansion, in progress) is detailed below.</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$\geq$85%):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$\approx$ 478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$\approx$497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$\times$ performance signal  : n $\approx$ 1,200</w:t>
      </w:r>
      <w:r>
        <w:br/>
      </w:r>
      <w:r>
        <w:rPr>
          <w:rStyle w:val="VerbatimChar"/>
        </w:rPr>
        <w:t xml:space="preserve">    - Systematic reviews / meta-analyses            : n $\approx$   97</w:t>
      </w:r>
      <w:r>
        <w:br/>
      </w:r>
      <w:r>
        <w:rPr>
          <w:rStyle w:val="VerbatimChar"/>
        </w:rPr>
        <w:t xml:space="preserve">    - Qualitative / conceptual / medical            : n $\approx$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internationalization-to-performance)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to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 to 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(Path B expansion — screening ongoing): reasons:</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w:t>
      </w:r>
      <w:r>
        <w:t xml:space="preserve"> </w:t>
      </w:r>
      <m:oMath>
        <m:sSup>
          <m:e>
            <m:r>
              <m:t>I</m:t>
            </m:r>
          </m:e>
          <m:sup>
            <m:r>
              <m:t>2</m:t>
            </m:r>
          </m:sup>
        </m:sSup>
      </m:oMath>
      <w:r>
        <w:t xml:space="preserve"> </w:t>
      </w:r>
      <w:r>
        <w:t xml:space="preserve">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w:t>
      </w:r>
      <w:r>
        <w:rPr>
          <w:iCs/>
          <w:i/>
        </w:rPr>
        <w:t xml:space="preserve"> </w:t>
      </w:r>
      <m:oMath>
        <m:r>
          <m:rPr>
            <m:sty m:val="p"/>
          </m:rPr>
          <m:t>≈</m:t>
        </m:r>
      </m:oMath>
      <w:r>
        <w:rPr>
          <w:iCs/>
          <w:i/>
        </w:rPr>
        <w:t xml:space="preserve"> </w:t>
      </w:r>
      <w:r>
        <w:rPr>
          <w:iCs/>
          <w:i/>
        </w:rPr>
        <w:t xml:space="preserve">6,900 words</w:t>
      </w:r>
      <w:r>
        <w:t xml:space="preserve"> </w:t>
      </w:r>
      <w:r>
        <w:rPr>
          <w:iCs/>
          <w:i/>
        </w:rPr>
        <w:t xml:space="preserve">Target journal: Management Review Quarterly (Springer; Scopus Q1), which specialises in systematic reviews and meta-analyses and accommodates comprehensive length. Analyses use the verified baseline corpus (k = 238 studies, K = 288 effect sizes); the formal WoS/Scopus search expansion is ongoing and will be incorporated at revision. Effect-size coding follows the standardized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2026-05-28T17:33:51Z</dcterms:created>
  <dcterms:modified xsi:type="dcterms:W3CDTF">2026-05-28T17:33:51Z</dcterms:modified>
</cp:coreProperties>
</file>

<file path=docProps/custom.xml><?xml version="1.0" encoding="utf-8"?>
<Properties xmlns="http://schemas.openxmlformats.org/officeDocument/2006/custom-properties" xmlns:vt="http://schemas.openxmlformats.org/officeDocument/2006/docPropsVTypes"/>
</file>