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it is non-linear, but what determines where its performance-maximising optimum falls. We develop and test an integrated multi-level account in which the inverted-U is universal in form but jointly conditioned by a firm’s institutional regime and digital capability, the regime governing the curve’s amplitude and digital capability reshaping it as a partial substitute for institutional strength. Using harmonised World Bank Enterprise Survey microdata (baseline N = 82,302; 45 economies; 98 country-year waves, 2003–2025) spanning all six Institutional Context Regime Variation (ICRV) groups, we estimate hierarchical OLS models. The I–P relationship is robustly inverted-U with a turning point near 37% export intensity (Lind–Mehlum p &lt; .001). Institutional regime moderates this optimum: concavity deepens as institutional quality declines, so the over-internationalisation penalty is sharpest in frontier and vulnerable regimes. Digital adoption both raises performance and reshapes the curve, its reshaping potency significantly stronger in weaker-institution regimes (</w:t>
      </w:r>
      <m:oMath>
        <m:r>
          <m:rPr>
            <m:nor/>
            <m:sty m:val="p"/>
          </m:rPr>
          <m:t>DAI</m:t>
        </m:r>
        <m:r>
          <m:rPr>
            <m:sty m:val="p"/>
          </m:rPr>
          <m:t>×</m:t>
        </m:r>
        <m:r>
          <m:rPr>
            <m:nor/>
            <m:sty m:val="p"/>
          </m:rPr>
          <m:t>ICRV</m:t>
        </m:r>
      </m:oMath>
      <w:r>
        <w:t xml:space="preserve"> </w:t>
      </w:r>
      <w:r>
        <w:t xml:space="preserve">p = .049), consistent with digital-for-institutional substitution. The account resolves the fragmented Asian I–P literature: divergent country findings locate firms at different positions on a single optimum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 .049), positioning foundational digital capability as a partial substitute for institutional infrastructure in converting exports into performance,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 .545). For Singapore (companion study),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We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(Authors, 2024).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we expect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we flag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we return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we state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We expect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We report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we include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we report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we adopt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 .001);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we record as a boundary on causal interpretation.</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 .000).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 .001) and</w:t>
      </w:r>
      <w:r>
        <w:t xml:space="preserve"> </w:t>
      </w:r>
      <m:oMath>
        <m:sSub>
          <m:e>
            <m:r>
              <m:t>β</m:t>
            </m:r>
          </m:e>
          <m:sub>
            <m:r>
              <m:t>2</m:t>
            </m:r>
          </m:sub>
        </m:sSub>
      </m:oMath>
      <w:r>
        <w:t xml:space="preserve"> </w:t>
      </w:r>
      <w:r>
        <w:t xml:space="preserve">= −1.630 (p &lt; .001),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 .001), confirming a positive ascending limb; (C2)</w:t>
      </w:r>
      <w:r>
        <w:t xml:space="preserve"> </w:t>
      </w:r>
      <m:oMath>
        <m:sSub>
          <m:e>
            <m:r>
              <m:t>β</m:t>
            </m:r>
          </m:e>
          <m:sub>
            <m:r>
              <m:t>2</m:t>
            </m:r>
          </m:sub>
        </m:sSub>
      </m:oMath>
      <w:r>
        <w:t xml:space="preserve"> </w:t>
      </w:r>
      <w:r>
        <w:t xml:space="preserve">= −1.630 (p &lt; .001),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 .001). The inverted-U remains significant when controls are added (M3: TP = 34.1%, LM p &lt; .001) and when country-year fixed effects absorb all unobserved time-varying country heterogeneity (M5: TP = 39.5%, LM p &lt; .001, adj</w:t>
      </w:r>
      <m:oMath>
        <m:sSup>
          <m:e>
            <m:r>
              <m:t>R</m:t>
            </m:r>
          </m:e>
          <m:sup>
            <m:r>
              <m:t>2</m:t>
            </m:r>
          </m:sup>
        </m:sSup>
      </m:oMath>
      <w:r>
        <w:t xml:space="preserve"> </w:t>
      </w:r>
      <w:r>
        <w:t xml:space="preserve">= .671). The consistency of the turning point across M2, M3, and M5, ranging from 34.1% to 39.5%, provides strong evidence that the inverted-U is not an artefact of omitted country-level confounders.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 .001) raises adj</w:t>
      </w:r>
      <m:oMath>
        <m:sSup>
          <m:e>
            <m:r>
              <m:t>R</m:t>
            </m:r>
          </m:e>
          <m:sup>
            <m:r>
              <m:t>2</m:t>
            </m:r>
          </m:sup>
        </m:sSup>
      </m:oMath>
      <w:r>
        <w:t xml:space="preserve"> </w:t>
      </w:r>
      <w:r>
        <w:t xml:space="preserve">from .017 to .027.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 .001),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 .001),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 .001,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 .001,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 .001) and female top manager (</w:t>
      </w:r>
      <m:oMath>
        <m:r>
          <m:t>β</m:t>
        </m:r>
      </m:oMath>
      <w:r>
        <w:t xml:space="preserve"> </w:t>
      </w:r>
      <w:r>
        <w:t xml:space="preserve">= +0.202, p &lt; .001)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 .29) or M11 (</w:t>
      </w:r>
      <m:oMath>
        <m:r>
          <m:t>β</m:t>
        </m:r>
      </m:oMath>
      <w:r>
        <w:t xml:space="preserve"> </w:t>
      </w:r>
      <w:r>
        <w:t xml:space="preserve">=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 .001)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 .001)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 .001).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primary inverted-U finding should therefore be read as a property of cross-sectional productivity levels, not of firm growth trajectories.</w:t>
      </w:r>
    </w:p>
    <w:p>
      <w:r>
        <w:pict>
          <v:rect style="width:0;height:1.5pt" o:hralign="center" o:hrstd="t" o:hr="t"/>
        </w:pict>
      </w:r>
    </w:p>
    <w:bookmarkEnd w:id="42"/>
    <w:bookmarkEnd w:id="43"/>
    <w:bookmarkStart w:id="51"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its shape is not 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We interpret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 Reading the borderline p = .049 with appropriate caution, we frame the substitution claim as the most theoretically consequential and empirically supported component of the digital story, while leaving the curvature-reshaping potential of richer (Tier 3–4) digital capabilities as an open question for future data.</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our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49"/>
    <w:bookmarkStart w:id="50"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0"/>
    <w:bookmarkEnd w:id="51"/>
    <w:bookmarkStart w:id="52"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w:t>
      </w:r>
      <m:oMath>
        <m:r>
          <m:rPr>
            <m:nor/>
            <m:sty m:val="p"/>
          </m:rPr>
          <m:t>DAI</m:t>
        </m:r>
        <m:r>
          <m:rPr>
            <m:sty m:val="p"/>
          </m:rPr>
          <m:t>×</m:t>
        </m:r>
        <m:r>
          <m:rPr>
            <m:nor/>
            <m:sty m:val="p"/>
          </m:rPr>
          <m:t>ICRV</m:t>
        </m:r>
      </m:oMath>
      <w:r>
        <w:t xml:space="preserve">, p = .049),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2"/>
    <w:bookmarkStart w:id="53"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53"/>
    <w:bookmarkStart w:id="54"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4"/>
    <w:bookmarkStart w:id="55"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w:t>
      </w:r>
      <m:oMath>
        <m:sSup>
          <m:e>
            <m:r>
              <m:t>R</m:t>
            </m:r>
          </m:e>
          <m:sup>
            <m:r>
              <m:t>2</m:t>
            </m:r>
          </m:sup>
        </m:sSup>
      </m:oMath>
      <w:r>
        <w:t xml:space="preserve">=.057, TP=25.7%, LM p=.026):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55"/>
    <w:bookmarkStart w:id="56"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56"/>
    <w:bookmarkEnd w:id="5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2026-05-28T17:30:14Z</dcterms:created>
  <dcterms:modified xsi:type="dcterms:W3CDTF">2026-05-28T17:30:14Z</dcterms:modified>
</cp:coreProperties>
</file>

<file path=docProps/custom.xml><?xml version="1.0" encoding="utf-8"?>
<Properties xmlns="http://schemas.openxmlformats.org/officeDocument/2006/custom-properties" xmlns:vt="http://schemas.openxmlformats.org/officeDocument/2006/docPropsVTypes"/>
</file>