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between internationalization intensity and firm performance rests on three structural prerequisites: a viable domestic market, manageable trade costs, and functional institutions. When all three are absent at once, as in Pacific Small Island Developing States (SIDS), the non-linear pattern collapses into a monotone negative relationship, which we term the Forced Internationalization Penalty (FIP): not a transient phase-1 learning cost, but a persistent structural condition arising from the compulsion to export despite systemic disadvantage. Using World Bank Enterprise Survey data from 1,469 firms across nine Pacific SIDS (2009–2025), internationalization intensity is robustly negatively associated with labour productivity (</w:t>
      </w:r>
      <m:oMath>
        <m:r>
          <m:t>β</m:t>
        </m:r>
      </m:oMath>
      <w:r>
        <w:t xml:space="preserve"> </w:t>
      </w:r>
      <w:r>
        <w:t xml:space="preserve">= −0.404, p = .032, country-and-year fixed effects) with no quadratic curvature. Technological capability and digital adoption, significant moderators in mainland Asia, are null here. These findings reframe the inverted-U as conditional rather than universal and identify boundary conditions for institutional moderation theory.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We position FIP not as a peripheral anomaly but as the opposite</w:t>
      </w:r>
      <w:r>
        <w:t xml:space="preserve"> </w:t>
      </w:r>
      <w:r>
        <w:rPr>
          <w:iCs/>
          <w:i/>
        </w:rPr>
        <w:t xml:space="preserve">pole</w:t>
      </w:r>
      <w:r>
        <w:t xml:space="preserve"> </w:t>
      </w:r>
      <w:r>
        <w:t xml:space="preserve">of the I-P relationship, the theoretical counterpart against which conventional theory is properly understood.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from the origin. The two regimes are not different points on one curve but two ends of a single theoretical continuum, with conventional theory occupying one pole and FIP the other. Far from a footnote, the FIP regime is the theoretically most revealing case. It is the analogue of a singularity, the limiting point at which the familiar laws cease to apply and, precisely in their breakdown, expose the structural prerequisites the inverted-U silently assumes but never names. Studying where the curve collapses tells us what the curve was built on.</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reshapes the logic of the I-P relationship.</w:t>
      </w:r>
    </w:p>
    <w:p>
      <w:pPr>
        <w:pStyle w:val="BodyText"/>
      </w:pPr>
      <w:r>
        <w:t xml:space="preserve">This study makes three contributions to the IB literature. First, and centrally, it introduces and theoretically defines FIP as a</w:t>
      </w:r>
      <w:r>
        <w:t xml:space="preserve"> </w:t>
      </w:r>
      <w:r>
        <w:rPr>
          <w:iCs/>
          <w:i/>
        </w:rPr>
        <w:t xml:space="preserve">general</w:t>
      </w:r>
      <w:r>
        <w:t xml:space="preserve"> </w:t>
      </w:r>
      <w:r>
        <w:t xml:space="preserve">boundary condition for institutional moderation theory, not a niche curiosity confined to remote islands. By identifying the conditions under which the inverted-U inverts, FIP demonstrates that the inverted-U is itself conditional rather than universal: it is the special case that obtains when three structural prerequisites happen to be satisfied, and FIP is the equally lawful regime that obtains when they are not. SIDS are the empirical site where this becomes visible, but the contribution is to the architecture of I-P theory writ large. We distinguish FIP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w:t>
      </w:r>
      <w:r>
        <w:t xml:space="preserve"> </w:t>
      </w:r>
      <m:oMath>
        <m:sSub>
          <m:e>
            <m:r>
              <m:rPr>
                <m:nor/>
                <m:sty m:val="p"/>
              </m:rPr>
              <m:t>FSTS</m:t>
            </m:r>
          </m:e>
          <m:sub>
            <m:r>
              <m:t>c</m:t>
            </m:r>
          </m:sub>
        </m:sSub>
      </m:oMath>
      <w:r>
        <w:t xml:space="preserve"> </w:t>
      </w:r>
      <w:r>
        <w:t xml:space="preserve">=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Following Lall (1992) and Goedhuys and Sleuwaegen (2013), TCI is constructed from two WBES items: b8 (internationally recognized quality certification, binary) and e6 (licensing of foreign technology, binary).</w:t>
      </w:r>
      <w:r>
        <w:t xml:space="preserve"> </w:t>
      </w:r>
      <m:oMath>
        <m:sSub>
          <m:e>
            <m:r>
              <m:rPr>
                <m:nor/>
                <m:sty m:val="p"/>
              </m:rPr>
              <m:t>TCI</m:t>
            </m:r>
          </m:e>
          <m:sub>
            <m:r>
              <m:t>z</m:t>
            </m:r>
          </m:sub>
        </m:sSub>
      </m:oMath>
      <w:r>
        <w:t xml:space="preserve"> </w:t>
      </w:r>
      <w:r>
        <w:t xml:space="preserve">is the z-standardized mean of these two indicators.</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w:t>
      </w:r>
      <w:r>
        <w:t xml:space="preserve"> </w:t>
      </w:r>
      <m:oMath>
        <m:sSub>
          <m:e>
            <m:r>
              <m:rPr>
                <m:nor/>
                <m:sty m:val="p"/>
              </m:rPr>
              <m:t>DAI</m:t>
            </m:r>
          </m:e>
          <m:sub>
            <m:r>
              <m:t>z</m:t>
            </m:r>
          </m:sub>
        </m:sSub>
      </m:oMath>
      <w:r>
        <w:t xml:space="preserve"> </w:t>
      </w:r>
      <w:r>
        <w:t xml:space="preserve">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across the full pooled sample. PPP conversion uses World Bank ICP deflators matched to survey year.</w:t>
      </w:r>
      <w:r>
        <w:t xml:space="preserve"> </w:t>
      </w:r>
      <m:oMath>
        <m:sSub>
          <m:e>
            <m:r>
              <m:rPr>
                <m:nor/>
                <m:sty m:val="p"/>
              </m:rPr>
              <m:t>FSTS</m:t>
            </m:r>
          </m:e>
          <m:sub>
            <m:r>
              <m:t>c</m:t>
            </m:r>
          </m:sub>
        </m:sSub>
      </m:oMath>
      <w:r>
        <w:t xml:space="preserve"> </w:t>
      </w:r>
      <w:r>
        <w:t xml:space="preserve">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w:t>
      </w:r>
      <w:r>
        <w:t xml:space="preserve"> </w:t>
      </w:r>
      <m:oMath>
        <m:r>
          <m:t>α</m:t>
        </m:r>
      </m:oMath>
      <w:r>
        <w:t xml:space="preserve"> </w:t>
      </w:r>
      <w:r>
        <w:t xml:space="preserve">+</w:t>
      </w:r>
      <w:r>
        <w:t xml:space="preserve"> </w:t>
      </w:r>
      <m:oMath>
        <m:r>
          <m:t>γ</m:t>
        </m:r>
      </m:oMath>
      <w:r>
        <w:t xml:space="preserve">₁ ln_size_it +</w:t>
      </w:r>
      <w:r>
        <w:t xml:space="preserve"> </w:t>
      </w:r>
      <m:oMath>
        <m:r>
          <m:t>γ</m:t>
        </m:r>
      </m:oMath>
      <w:r>
        <w:t xml:space="preserve">₂ firm_age_it +</w:t>
      </w:r>
      <w:r>
        <w:t xml:space="preserve"> </w:t>
      </w:r>
      <m:oMath>
        <m:r>
          <m:t>γ</m:t>
        </m:r>
      </m:oMath>
      <w:r>
        <w:t xml:space="preserve">₃ foreign_own_pct_it + δ_c +</w:t>
      </w:r>
      <w:r>
        <w:t xml:space="preserve"> </w:t>
      </w:r>
      <m:oMath>
        <m:r>
          <m:t>λ</m:t>
        </m:r>
      </m:oMath>
      <w:r>
        <w:t xml:space="preserve">_t +</w:t>
      </w:r>
      <w:r>
        <w:t xml:space="preserve"> </w:t>
      </w:r>
      <m:oMath>
        <m:r>
          <m:t>ϵ</m:t>
        </m:r>
      </m:oMath>
      <w:r>
        <w:t xml:space="preserve">_it</w:t>
      </w:r>
    </w:p>
    <w:p>
      <w:pPr>
        <w:pStyle w:val="BodyText"/>
      </w:pPr>
      <w:r>
        <w:rPr>
          <w:bCs/>
          <w:b/>
        </w:rPr>
        <w:t xml:space="preserve">M1 (linear FSTS, FIP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M2 (quadratic FSTS, curvature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M3 (capabilities, moderation null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sSub>
          <m:e>
            <m:r>
              <m:t>β</m:t>
            </m:r>
          </m:e>
          <m:sub>
            <m:r>
              <m:t>3</m:t>
            </m:r>
          </m:sub>
        </m:sSub>
      </m:oMath>
      <w:r>
        <w:t xml:space="preserve"> </w:t>
      </w:r>
      <m:oMath>
        <m:sSub>
          <m:e>
            <m:r>
              <m:rPr>
                <m:nor/>
                <m:sty m:val="p"/>
              </m:rPr>
              <m:t>TCI</m:t>
            </m:r>
          </m:e>
          <m:sub>
            <m:r>
              <m:t>z</m:t>
            </m:r>
          </m:sub>
        </m:sSub>
      </m:oMath>
      <w:r>
        <w:t xml:space="preserve">_it +</w:t>
      </w:r>
      <w:r>
        <w:t xml:space="preserve"> </w:t>
      </w:r>
      <m:oMath>
        <m:sSub>
          <m:e>
            <m:r>
              <m:t>β</m:t>
            </m:r>
          </m:e>
          <m:sub>
            <m:r>
              <m:t>4</m:t>
            </m:r>
          </m:sub>
        </m:sSub>
      </m:oMath>
      <w:r>
        <w:t xml:space="preserve"> </w:t>
      </w:r>
      <m:oMath>
        <m:sSub>
          <m:e>
            <m:r>
              <m:rPr>
                <m:nor/>
                <m:sty m:val="p"/>
              </m:rPr>
              <m:t>DAI</m:t>
            </m:r>
          </m:e>
          <m:sub>
            <m:r>
              <m:t>z</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t xml:space="preserve">where δ_c denotes country fixed effects,</w:t>
      </w:r>
      <w:r>
        <w:t xml:space="preserve"> </w:t>
      </w:r>
      <m:oMath>
        <m:r>
          <m:t>λ</m:t>
        </m:r>
      </m:oMath>
      <w:r>
        <w:t xml:space="preserve">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w:t>
      </w:r>
      <w:r>
        <w:t xml:space="preserve"> </w:t>
      </w:r>
      <m:oMath>
        <m:sSup>
          <m:e>
            <m:r>
              <m:t>R</m:t>
            </m:r>
          </m:e>
          <m:sup>
            <m:r>
              <m:t>2</m:t>
            </m:r>
          </m:sup>
        </m:sSup>
      </m:oMath>
      <w:r>
        <w:t xml:space="preserve"> </w:t>
      </w:r>
      <w:r>
        <w:t xml:space="preserve">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w:t>
      </w:r>
      <w:r>
        <w:t xml:space="preserve"> </w:t>
      </w:r>
      <m:oMath>
        <m:sSup>
          <m:e>
            <m:r>
              <m:t>R</m:t>
            </m:r>
          </m:e>
          <m:sup>
            <m:r>
              <m:t>2</m:t>
            </m:r>
          </m:sup>
        </m:sSup>
      </m:oMath>
      <w:r>
        <w:t xml:space="preserve"> </w:t>
      </w:r>
      <w:r>
        <w:t xml:space="preserve">of 0.7992, and adding</w:t>
      </w:r>
      <w:r>
        <w:t xml:space="preserve"> </w:t>
      </w:r>
      <m:oMath>
        <m:sSub>
          <m:e>
            <m:r>
              <m:rPr>
                <m:nor/>
                <m:sty m:val="p"/>
              </m:rPr>
              <m:t>FSTS</m:t>
            </m:r>
          </m:e>
          <m:sub>
            <m:r>
              <m:t>c</m:t>
            </m:r>
          </m:sub>
        </m:sSub>
      </m:oMath>
      <w:r>
        <w:t xml:space="preserve"> </w:t>
      </w:r>
      <w:r>
        <w:t xml:space="preserve">in M1 marginally increases</w:t>
      </w:r>
      <w:r>
        <w:t xml:space="preserve"> </w:t>
      </w:r>
      <m:oMath>
        <m:sSup>
          <m:e>
            <m:r>
              <m:t>R</m:t>
            </m:r>
          </m:e>
          <m:sup>
            <m:r>
              <m:t>2</m:t>
            </m:r>
          </m:sup>
        </m:sSup>
      </m:oMath>
      <w:r>
        <w:t xml:space="preserve"> </w:t>
      </w:r>
      <w:r>
        <w:t xml:space="preserve">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w:t>
      </w:r>
      <m:oMath>
        <m:r>
          <m:t>β</m:t>
        </m:r>
      </m:oMath>
      <w:r>
        <w:t xml:space="preserve"> </w:t>
      </w:r>
      <w:r>
        <w:t xml:space="preserve">= +0.009, p = .052); foreign ownership shows a marginally negative association (</w:t>
      </w:r>
      <m:oMath>
        <m:r>
          <m:t>β</m:t>
        </m:r>
      </m:oMath>
      <w:r>
        <w:t xml:space="preserve"> </w:t>
      </w:r>
      <w:r>
        <w:t xml:space="preserve">= −0.006, p = .056), perhaps reflecting thin foreign investment efficiency in SIDS contexts; firm size is positive but non-significant (</w:t>
      </w:r>
      <m:oMath>
        <m:r>
          <m:t>β</m:t>
        </m:r>
      </m:oMath>
      <w:r>
        <w:t xml:space="preserve"> </w:t>
      </w:r>
      <w:r>
        <w:t xml:space="preserve">= +0.082, p = .242).</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w:t>
      </w:r>
      <w:r>
        <w:t xml:space="preserve"> </w:t>
      </w:r>
      <m:oMath>
        <m:sSubSup>
          <m:e>
            <m:r>
              <m:rPr>
                <m:nor/>
                <m:sty m:val="p"/>
              </m:rPr>
              <m:t>FSTS</m:t>
            </m:r>
          </m:e>
          <m:sub>
            <m:r>
              <m:t>c</m:t>
            </m:r>
          </m:sub>
          <m:sup>
            <m:r>
              <m:t>2</m:t>
            </m:r>
          </m:sup>
        </m:sSubSup>
      </m:oMath>
      <w:r>
        <w:t xml:space="preserve"> </w:t>
      </w:r>
      <w:r>
        <w:t xml:space="preserve">to test whether the negative I-P relationship is eventually reversed, i.e., whether there is any inverted-U pattern with the positive portion below our data range.</w:t>
      </w:r>
    </w:p>
    <w:p>
      <w:pPr>
        <w:pStyle w:val="BodyText"/>
      </w:pPr>
      <w:r>
        <w:t xml:space="preserve">The results are:</w:t>
      </w:r>
      <w:r>
        <w:t xml:space="preserve"> </w:t>
      </w:r>
      <m:oMath>
        <m:r>
          <m:t>β</m:t>
        </m:r>
      </m:oMath>
      <w:r>
        <w:t xml:space="preserve">(</w:t>
      </w:r>
      <m:oMath>
        <m:sSub>
          <m:e>
            <m:r>
              <m:rPr>
                <m:nor/>
                <m:sty m:val="p"/>
              </m:rPr>
              <m:t>FSTS</m:t>
            </m:r>
          </m:e>
          <m:sub>
            <m:r>
              <m:t>c</m:t>
            </m:r>
          </m:sub>
        </m:sSub>
      </m:oMath>
      <w:r>
        <w:t xml:space="preserve">) = −0.925, SE = 0.828, p = .265 (n.s.)</w:t>
      </w:r>
      <w:r>
        <w:t xml:space="preserve"> </w:t>
      </w:r>
      <m:oMath>
        <m:r>
          <m:t>β</m:t>
        </m:r>
      </m:oMath>
      <w:r>
        <w:t xml:space="preserve">(</w:t>
      </w:r>
      <m:oMath>
        <m:sSubSup>
          <m:e>
            <m:r>
              <m:rPr>
                <m:nor/>
                <m:sty m:val="p"/>
              </m:rPr>
              <m:t>FSTS</m:t>
            </m:r>
          </m:e>
          <m:sub>
            <m:r>
              <m:t>c</m:t>
            </m:r>
          </m:sub>
          <m:sup>
            <m:r>
              <m:t>2</m:t>
            </m:r>
          </m:sup>
        </m:sSubSup>
      </m:oMath>
      <w:r>
        <w:t xml:space="preserve">)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w:t>
      </w:r>
      <w:r>
        <w:t xml:space="preserve"> </w:t>
      </w:r>
      <m:oMath>
        <m:r>
          <m:t>β</m:t>
        </m:r>
      </m:oMath>
      <w:r>
        <w:t xml:space="preserve">(</w:t>
      </w:r>
      <m:oMath>
        <m:sSub>
          <m:e>
            <m:r>
              <m:rPr>
                <m:nor/>
                <m:sty m:val="p"/>
              </m:rPr>
              <m:t>FSTS</m:t>
            </m:r>
          </m:e>
          <m:sub>
            <m:r>
              <m:t>c</m:t>
            </m:r>
          </m:sub>
        </m:sSub>
      </m:oMath>
      <w:r>
        <w:t xml:space="preserve">)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w:t>
      </w:r>
      <w:r>
        <w:t xml:space="preserve"> </w:t>
      </w:r>
      <m:oMath>
        <m:sSub>
          <m:e>
            <m:r>
              <m:t>β</m:t>
            </m:r>
          </m:e>
          <m:sub>
            <m:r>
              <m:t>2</m:t>
            </m:r>
          </m:sub>
        </m:sSub>
      </m:oMath>
      <w:r>
        <w:t xml:space="preserve"> </w:t>
      </w:r>
      <w:r>
        <w:t xml:space="preserve">&lt; 0):</w:t>
      </w:r>
      <w:r>
        <w:t xml:space="preserve"> </w:t>
      </w:r>
      <m:oMath>
        <m:r>
          <m:t>β</m:t>
        </m:r>
      </m:oMath>
      <w:r>
        <w:t xml:space="preserve">(</w:t>
      </w:r>
      <m:oMath>
        <m:sSubSup>
          <m:e>
            <m:r>
              <m:rPr>
                <m:nor/>
                <m:sty m:val="p"/>
              </m:rPr>
              <m:t>FSTS</m:t>
            </m:r>
          </m:e>
          <m:sub>
            <m:r>
              <m:t>c</m:t>
            </m:r>
          </m:sub>
          <m:sup>
            <m:r>
              <m:t>2</m:t>
            </m:r>
          </m:sup>
        </m:sSubSup>
      </m:oMath>
      <w:r>
        <w:t xml:space="preserve">)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w:t>
      </w:r>
      <w:r>
        <w:t xml:space="preserve"> </w:t>
      </w:r>
      <m:oMath>
        <m:r>
          <m:rPr>
            <m:sty m:val="p"/>
          </m:rPr>
          <m:t>×</m:t>
        </m:r>
      </m:oMath>
      <w:r>
        <w:t xml:space="preserve"> </w:t>
      </w:r>
      <w:r>
        <w:t xml:space="preserve">0.649) = 0.712,</w:t>
      </w:r>
      <w:r>
        <w:t xml:space="preserve"> </w:t>
      </w:r>
      <w:r>
        <w:rPr>
          <w:bCs/>
          <w:b/>
        </w:rPr>
        <w:t xml:space="preserve">implied turning point lies outside the observed sample maximum (</w:t>
      </w:r>
      <m:oMath>
        <m:sSub>
          <m:e>
            <m:r>
              <m:rPr>
                <m:nor/>
                <m:sty m:val="p"/>
              </m:rPr>
              <m:t>FSTS</m:t>
            </m:r>
          </m:e>
          <m:sub>
            <m:r>
              <m:t>m</m:t>
            </m:r>
          </m:sub>
        </m:sSub>
      </m:oMath>
      <w:r>
        <w:rPr>
          <w:bCs/>
          <w:b/>
        </w:rPr>
        <w:t xml:space="preserve">ax</w:t>
      </w:r>
      <w:r>
        <w:rPr>
          <w:bCs/>
          <w:b/>
        </w:rPr>
        <w:t xml:space="preserve"> </w:t>
      </w:r>
      <m:oMath>
        <m:r>
          <m:rPr>
            <m:sty m:val="p"/>
          </m:rPr>
          <m:t>≈</m:t>
        </m:r>
      </m:oMath>
      <w:r>
        <w:rPr>
          <w:bCs/>
          <w:b/>
        </w:rPr>
        <w:t xml:space="preserve"> </w:t>
      </w:r>
      <w:r>
        <w:rPr>
          <w:bCs/>
          <w:b/>
        </w:rPr>
        <w:t xml:space="preserve">0.80, but neither</w:t>
      </w:r>
      <w:r>
        <w:rPr>
          <w:bCs/>
          <w:b/>
        </w:rPr>
        <w:t xml:space="preserve"> </w:t>
      </w:r>
      <m:oMath>
        <m:sSub>
          <m:e>
            <m:r>
              <m:t>β</m:t>
            </m:r>
          </m:e>
          <m:sub>
            <m:r>
              <m:t>1</m:t>
            </m:r>
          </m:sub>
        </m:sSub>
      </m:oMath>
      <w:r>
        <w:rPr>
          <w:bCs/>
          <w:b/>
        </w:rPr>
        <w:t xml:space="preserve"> </w:t>
      </w:r>
      <w:r>
        <w:rPr>
          <w:bCs/>
          <w:b/>
        </w:rPr>
        <w:t xml:space="preserve">nor</w:t>
      </w:r>
      <w:r>
        <w:rPr>
          <w:bCs/>
          <w:b/>
        </w:rPr>
        <w:t xml:space="preserve"> </w:t>
      </w:r>
      <m:oMath>
        <m:sSub>
          <m:e>
            <m:r>
              <m:t>β</m:t>
            </m:r>
          </m:e>
          <m:sub>
            <m:r>
              <m:t>2</m:t>
            </m:r>
          </m:sub>
        </m:sSub>
      </m:oMath>
      <w:r>
        <w:rPr>
          <w:bCs/>
          <w:b/>
        </w:rPr>
        <w:t xml:space="preserve"> </w:t>
      </w:r>
      <w:r>
        <w:rPr>
          <w:bCs/>
          <w:b/>
        </w:rPr>
        <w:t xml:space="preserve">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m:oMath>
        <m:r>
          <m:t>β</m:t>
        </m:r>
      </m:oMath>
      <w:r>
        <w:t xml:space="preserve">(FSTS)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m:oMath>
        <m:r>
          <m:t>β</m:t>
        </m:r>
      </m:oMath>
      <w:r>
        <w:t xml:space="preserve">(FSTS)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as additional regressors to test H2. Neither variable achieves statistical significance:</w:t>
      </w:r>
    </w:p>
    <w:p>
      <w:pPr>
        <w:pStyle w:val="BodyText"/>
      </w:pPr>
      <m:oMath>
        <m:r>
          <m:t>β</m:t>
        </m:r>
      </m:oMath>
      <w:r>
        <w:t xml:space="preserve">(</w:t>
      </w:r>
      <m:oMath>
        <m:sSub>
          <m:e>
            <m:r>
              <m:rPr>
                <m:nor/>
                <m:sty m:val="p"/>
              </m:rPr>
              <m:t>TCI</m:t>
            </m:r>
          </m:e>
          <m:sub>
            <m:r>
              <m:t>z</m:t>
            </m:r>
          </m:sub>
        </m:sSub>
      </m:oMath>
      <w:r>
        <w:t xml:space="preserve">) = +0.058, SE = 0.085, p = .495 (n.s.)</w:t>
      </w:r>
      <w:r>
        <w:t xml:space="preserve"> </w:t>
      </w:r>
      <m:oMath>
        <m:r>
          <m:t>β</m:t>
        </m:r>
      </m:oMath>
      <w:r>
        <w:t xml:space="preserve">(</w:t>
      </w:r>
      <m:oMath>
        <m:sSub>
          <m:e>
            <m:r>
              <m:rPr>
                <m:nor/>
                <m:sty m:val="p"/>
              </m:rPr>
              <m:t>DAI</m:t>
            </m:r>
          </m:e>
          <m:sub>
            <m:r>
              <m:t>z</m:t>
            </m:r>
          </m:sub>
        </m:sSub>
      </m:oMath>
      <w:r>
        <w:t xml:space="preserve">) = +0.062, SE = 0.073, p = .402 (n.s.)</w:t>
      </w:r>
    </w:p>
    <w:p>
      <w:pPr>
        <w:pStyle w:val="BodyText"/>
      </w:pPr>
      <w:r>
        <w:t xml:space="preserve">The FIP coefficient (</w:t>
      </w:r>
      <m:oMath>
        <m:sSub>
          <m:e>
            <m:r>
              <m:rPr>
                <m:nor/>
                <m:sty m:val="p"/>
              </m:rPr>
              <m:t>FSTS</m:t>
            </m:r>
          </m:e>
          <m:sub>
            <m:r>
              <m:t>c</m:t>
            </m:r>
          </m:sub>
        </m:sSub>
      </m:oMath>
      <w:r>
        <w:t xml:space="preserve">) remains negative but loses significance in M3 (</w:t>
      </w:r>
      <m:oMath>
        <m:r>
          <m:t>β</m:t>
        </m:r>
      </m:oMath>
      <w:r>
        <w:t xml:space="preserve"> </w:t>
      </w:r>
      <w:r>
        <w:t xml:space="preserve">= −0.974, p = .252), likely reflecting the substantially reduced sample (N = 526 for M3, versus N = 1,469 for M1, due to missing capability variables). The direction of the</w:t>
      </w:r>
      <w:r>
        <w:t xml:space="preserve"> </w:t>
      </w:r>
      <m:oMath>
        <m:sSub>
          <m:e>
            <m:r>
              <m:rPr>
                <m:nor/>
                <m:sty m:val="p"/>
              </m:rPr>
              <m:t>FSTS</m:t>
            </m:r>
          </m:e>
          <m:sub>
            <m:r>
              <m:t>c</m:t>
            </m:r>
          </m:sub>
        </m:sSub>
      </m:oMath>
      <w:r>
        <w:t xml:space="preserve"> </w:t>
      </w:r>
      <w:r>
        <w:t xml:space="preserve">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w:t>
      </w:r>
      <m:oMath>
        <m:sSub>
          <m:e>
            <m:r>
              <m:rPr>
                <m:nor/>
                <m:sty m:val="p"/>
              </m:rPr>
              <m:t>TCI</m:t>
            </m:r>
          </m:e>
          <m:sub>
            <m:r>
              <m:t>z</m:t>
            </m:r>
          </m:sub>
        </m:sSub>
      </m:oMath>
      <w:r>
        <w:t xml:space="preserve">:</w:t>
      </w:r>
      <w:r>
        <w:t xml:space="preserve"> </w:t>
      </w:r>
      <m:oMath>
        <m:r>
          <m:t>β</m:t>
        </m:r>
      </m:oMath>
      <w:r>
        <w:t xml:space="preserve"> </w:t>
      </w:r>
      <w:r>
        <w:t xml:space="preserve">= +0.058, SE = 0.085, p = .495) and digital adoption (</w:t>
      </w:r>
      <m:oMath>
        <m:sSub>
          <m:e>
            <m:r>
              <m:rPr>
                <m:nor/>
                <m:sty m:val="p"/>
              </m:rPr>
              <m:t>DAI</m:t>
            </m:r>
          </m:e>
          <m:sub>
            <m:r>
              <m:t>z</m:t>
            </m:r>
          </m:sub>
        </m:sSub>
      </m:oMath>
      <w:r>
        <w:t xml:space="preserve">:</w:t>
      </w:r>
      <w:r>
        <w:t xml:space="preserve"> </w:t>
      </w:r>
      <m:oMath>
        <m:r>
          <m:t>β</m:t>
        </m:r>
      </m:oMath>
      <w:r>
        <w:t xml:space="preserve"> </w:t>
      </w:r>
      <w:r>
        <w:t xml:space="preserve">= +0.062, SE = 0.073, p = .402) do not statistically significantly moderate the I-P relationship in Pacific SIDS, consistent with the FIP mechanism overwhelming capability effects in structurally constrained SIDS economies. The positive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w:t>
      </w:r>
      <w:r>
        <w:t xml:space="preserve"> </w:t>
      </w:r>
      <m:oMath>
        <m:r>
          <m:t>β</m:t>
        </m:r>
      </m:oMath>
      <w:r>
        <w:t xml:space="preserve"> </w:t>
      </w:r>
      <w:r>
        <w:t xml:space="preserve">= −0.404, p = .032); (ii) no significant quadratic curvature or turning point (M2: both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non-significant); (iii) robustly negative across four specifications (M_yearFE:</w:t>
      </w:r>
      <w:r>
        <w:t xml:space="preserve"> </w:t>
      </w:r>
      <m:oMath>
        <m:r>
          <m:t>β</m:t>
        </m:r>
      </m:oMath>
      <w:r>
        <w:t xml:space="preserve"> </w:t>
      </w:r>
      <w:r>
        <w:t xml:space="preserve">= −1.236, p &lt; .001; M_bivariate:</w:t>
      </w:r>
      <w:r>
        <w:t xml:space="preserve"> </w:t>
      </w:r>
      <m:oMath>
        <m:r>
          <m:t>β</m:t>
        </m:r>
      </m:oMath>
      <w:r>
        <w:t xml:space="preserve"> </w:t>
      </w:r>
      <w:r>
        <w:t xml:space="preserve">= −1.596, p &lt; .001; exporters-only:</w:t>
      </w:r>
      <w:r>
        <w:t xml:space="preserve"> </w:t>
      </w:r>
      <m:oMath>
        <m:r>
          <m:t>β</m:t>
        </m:r>
      </m:oMath>
      <w:r>
        <w:t xml:space="preserve"> </w:t>
      </w:r>
      <w:r>
        <w:t xml:space="preserve">= −0.901, p = .027); and (iv) null capability moderation (M3:</w:t>
      </w:r>
      <w:r>
        <w:t xml:space="preserve"> </w:t>
      </w:r>
      <m:oMath>
        <m:sSub>
          <m:e>
            <m:r>
              <m:rPr>
                <m:nor/>
                <m:sty m:val="p"/>
              </m:rPr>
              <m:t>TCI</m:t>
            </m:r>
          </m:e>
          <m:sub>
            <m:r>
              <m:t>z</m:t>
            </m:r>
          </m:sub>
        </m:sSub>
      </m:oMath>
      <w:r>
        <w:t xml:space="preserve"> </w:t>
      </w:r>
      <w:r>
        <w:t xml:space="preserve">p = .495;</w:t>
      </w:r>
      <w:r>
        <w:t xml:space="preserve"> </w:t>
      </w:r>
      <m:oMath>
        <m:sSub>
          <m:e>
            <m:r>
              <m:rPr>
                <m:nor/>
                <m:sty m:val="p"/>
              </m:rPr>
              <m:t>DAI</m:t>
            </m:r>
          </m:e>
          <m:sub>
            <m:r>
              <m:t>z</m:t>
            </m:r>
          </m:sub>
        </m:sSub>
      </m:oMath>
      <w:r>
        <w:t xml:space="preserve"> </w:t>
      </w:r>
      <w:r>
        <w:t xml:space="preserve">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w:t>
      </w:r>
      <m:oMath>
        <m:r>
          <m:t>β</m:t>
        </m:r>
      </m:oMath>
      <w:r>
        <w:t xml:space="preserve"> </w:t>
      </w:r>
      <w:r>
        <w:t xml:space="preserve">= −0.404, p = .032 in the primary country-and-year fixed-effects model;</w:t>
      </w:r>
      <w:r>
        <w:t xml:space="preserve"> </w:t>
      </w:r>
      <m:oMath>
        <m:r>
          <m:t>β</m:t>
        </m:r>
      </m:oMath>
      <w:r>
        <w:t xml:space="preserve"> </w:t>
      </w:r>
      <w:r>
        <w:t xml:space="preserve">= −1.236, p &lt; .001 without country fixed effects;</w:t>
      </w:r>
      <w:r>
        <w:t xml:space="preserve"> </w:t>
      </w:r>
      <m:oMath>
        <m:r>
          <m:t>β</m:t>
        </m:r>
      </m:oMath>
      <w:r>
        <w:t xml:space="preserve"> </w:t>
      </w:r>
      <w:r>
        <w:t xml:space="preserve">=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w:t>
      </w:r>
      <w:r>
        <w:rPr>
          <w:iCs/>
          <w:i/>
        </w:rPr>
        <w:t xml:space="preserve"> </w:t>
      </w:r>
      <m:oMath>
        <m:r>
          <m:t>β</m:t>
        </m:r>
      </m:oMath>
      <w:r>
        <w:rPr>
          <w:iCs/>
          <w:i/>
        </w:rPr>
        <w:t xml:space="preserve">(</w:t>
      </w:r>
      <m:oMath>
        <m:sSub>
          <m:e>
            <m:r>
              <m:rPr>
                <m:nor/>
                <m:sty m:val="p"/>
              </m:rPr>
              <m:t>FSTS</m:t>
            </m:r>
          </m:e>
          <m:sub>
            <m:r>
              <m:t>c</m:t>
            </m:r>
          </m:sub>
        </m:sSub>
      </m:oMath>
      <w:r>
        <w:rPr>
          <w:iCs/>
          <w:i/>
        </w:rPr>
        <w:t xml:space="preserve">)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w:t>
      </w:r>
      <m:oMath>
        <m:r>
          <m:t>β</m:t>
        </m:r>
      </m:oMath>
      <w:r>
        <w:rPr>
          <w:iCs/>
          <w:i/>
        </w:rPr>
        <w:t xml:space="preserve"> </w:t>
      </w:r>
      <w:r>
        <w:rPr>
          <w:iCs/>
          <w:i/>
        </w:rPr>
        <w:t xml:space="preserve">=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2026-05-28T17:30:14Z</dcterms:created>
  <dcterms:modified xsi:type="dcterms:W3CDTF">2026-05-28T17:30:14Z</dcterms:modified>
</cp:coreProperties>
</file>

<file path=docProps/custom.xml><?xml version="1.0" encoding="utf-8"?>
<Properties xmlns="http://schemas.openxmlformats.org/officeDocument/2006/custom-properties" xmlns:vt="http://schemas.openxmlformats.org/officeDocument/2006/docPropsVTypes"/>
</file>