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1-giới-thiệu"/>
    <w:p>
      <w:pPr>
        <w:pStyle w:val="Heading1"/>
      </w:pPr>
      <w:r>
        <w:t xml:space="preserve">CHƯƠNG 1: GIỚI THIỆU</w:t>
      </w:r>
    </w:p>
    <w:bookmarkEnd w:id="20"/>
    <w:p>
      <w:r>
        <w:pict>
          <v:rect style="width:0;height:1.5pt" o:hralign="center" o:hrstd="t" o:hr="t"/>
        </w:pict>
      </w:r>
    </w:p>
    <w:bookmarkStart w:id="2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gần nửa thế kỷ nghiên cứu đã tích lũy quanh một câu hỏi cốt lõi nhưng vẫn chưa có lời đáp dứt khoát: quốc tế hóa có thực sự cải thiện hiệu quả hoạt động của doanh nghiệp hay không, và nếu có thì trong những điều kiện nào? Lu và Beamish (2004) cung cấp bằng chứng then chốt về quan hệ hình chữ S (S-curve) giữa mức độ quốc tế hóa và hiệu quả, trong khi Contractor et al. (2003) cùng nhiều nghiên cứu kế tiếp tiếp tục thách thức, bổ sung và điều chỉnh kết luận đó. Điểm đáng chú ý không phải là sự thiếu vắng bằng chứng, mà là sự phân tán của nó: mối quan hệ internationalization-firm performance (I-P) là có thực nhưng phức tạp và phụ thuộc vào nhiều điều kiện biên, và chính tính điều kiện này, chứ không phải bản thân dấu của hiệu ứng, mới là vấn đề lý thuyết cần được giải quyết.</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Thể chế là tầng giải thích tiếp theo không thể thiếu đối với kết quả quốc tế hóa. Institutional Theory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institutional voids</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Sau cùng, chính nhà quản trị cấp cao là tầng chuyển hóa các điều kiện vĩ mô thành quyết định chiến lược và kết quả quốc tế hóa cụ thể.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p>
      <w:r>
        <w:pict>
          <v:rect style="width:0;height:1.5pt" o:hralign="center" o:hrstd="t" o:hr="t"/>
        </w:pict>
      </w:r>
    </w:p>
    <w:bookmarkEnd w:id="21"/>
    <w:bookmarkStart w:id="2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chiều sâu năng lực công nghệ nhập vào tổ chức, và digital adoption,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heterogeneity cao trong quan hệ I-P.</w:t>
      </w:r>
    </w:p>
    <w:p>
      <w:r>
        <w:pict>
          <v:rect style="width:0;height:1.5pt" o:hralign="center" o:hrstd="t" o:hr="t"/>
        </w:pict>
      </w:r>
    </w:p>
    <w:bookmarkEnd w:id="22"/>
    <w:bookmarkStart w:id="2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(moderators) chính giải thích heterogeneity trong các nghiên cứu.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47-49 nền kinh tế châu Á và Thái Bình Dương (bao gồm 6-8 nền kinh tế Pacific SIDS) để kiểm định khả năng khái quát hóa của các phát hiện trên phạm vi rộng, kế thừa và mở rộng từ pool 17 nền kinh tế trong Do và Phan (2026a).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23"/>
    <w:bookmarkStart w:id="2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các nghiên cứu giai đoạn 1982-2026 là gì, mức độ dị biệt ở mức nào, và những moderators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47-49 nền kinh tế châu Á và Thái Bình Dương (bao gồm 6-8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đo bằng sub-regime ICRV,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24"/>
    <w:bookmarkStart w:id="28" w:name="đối-tượng-và-phạm-vi-nghiên-cứu"/>
    <w:p>
      <w:pPr>
        <w:pStyle w:val="Heading2"/>
      </w:pPr>
      <w:r>
        <w:t xml:space="preserve">1.5 Đối tượng và phạm vi nghiên cứu</w:t>
      </w:r>
    </w:p>
    <w:bookmarkStart w:id="2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5"/>
    <w:bookmarkStart w:id="26"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47-49 nền kinh tế châu Á và Thái Bình Dương</w:t>
      </w:r>
      <w:r>
        <w:t xml:space="preserve"> </w:t>
      </w:r>
      <w:r>
        <w:t xml:space="preserve">có dữ liệu trong Khảo sát Doanh nghiệp của Ngân hàng Thế giới (World Bank Enterprise Surveys, WBES), được phân loại và tổ chức theo 6 sub-regime trong khung ICRV. Sáu sub-regime bao gồm: (i) Advanced Innovation-Driven, đại diện là Singapore, Hàn Quốc và Đài Loan; (ii) Advanced Resource-Driven, đại diện là các nền kinh tế GCC; (iii) Upper-middle, đại diện là Trung Quốc và Malaysia; (iv) Emerging, bao gồm Việt Nam và các nền kinh tế ASEAN đang phát triển; (v) Frontier, bao gồm các nền kinh tế kém phát triển nhất châu Á như Campuchia, Nepal và Afghanistan; và (vi) Pacific SIDS (Small Island Developing States), bao gồm 9 nền kinh tế đảo nhỏ Thái Bình Dương được đưa vào phân tích để kiểm định các điều kiện biên cực đoan của quan hệ I-P. Nhật Bản không nằm trong phạm vi thực nghiệm của luận án do cấu trúc dữ liệu WBES không bao phủ Nhật Bản đầy đủ. Cần lưu ý rằng ký hiệu</w:t>
      </w:r>
      <w:r>
        <w:t xml:space="preserve"> </w:t>
      </w:r>
      <w:r>
        <w:t xml:space="preserve">“</w:t>
      </w:r>
      <w:r>
        <w:t xml:space="preserve">47-49 nền kinh tế</w:t>
      </w:r>
      <w:r>
        <w:t xml:space="preserve">”</w:t>
      </w:r>
      <w:r>
        <w:t xml:space="preserve"> </w:t>
      </w:r>
      <w:r>
        <w:t xml:space="preserve">phản ánh hai phạm vi mẫu khác nhau chứ không phải mâu thuẫn: phân tích mô tả (Chương 4, mục 4.1 và Chuyên đề 1) bao phủ</w:t>
      </w:r>
      <w:r>
        <w:t xml:space="preserve"> </w:t>
      </w:r>
      <w:r>
        <w:rPr>
          <w:bCs/>
          <w:b/>
        </w:rPr>
        <w:t xml:space="preserve">47 nền kinh tế</w:t>
      </w:r>
      <w:r>
        <w:t xml:space="preserve"> </w:t>
      </w:r>
      <w:r>
        <w:t xml:space="preserve">với 101.185 doanh nghiệp, trong khi mô hình hồi quy đa quốc gia (Nghiên cứu P7, Chương 4) bao phủ</w:t>
      </w:r>
      <w:r>
        <w:t xml:space="preserve"> </w:t>
      </w:r>
      <w:r>
        <w:rPr>
          <w:bCs/>
          <w:b/>
        </w:rPr>
        <w:t xml:space="preserve">49 nền kinh tế</w:t>
      </w:r>
      <w:r>
        <w:t xml:space="preserve"> </w:t>
      </w:r>
      <w:r>
        <w:t xml:space="preserve">đáp ứng đủ yêu cầu dữ liệu cho ước lượng. Tương tự, nhóm Pacific SIDS được liệt kê gồm các nền kinh tế đảo nhỏ, trong đó số quan sát thực tế đưa vào hồi quy (Nghiên cứu P8) phụ thuộc vào tính sẵn có của dữ liệu sau khi lọc giá trị khuyết.</w:t>
      </w:r>
    </w:p>
    <w:bookmarkEnd w:id="26"/>
    <w:bookmarkStart w:id="27" w:name="phạm-vi-thời-gian"/>
    <w:p>
      <w:pPr>
        <w:pStyle w:val="Heading3"/>
      </w:pPr>
      <w:r>
        <w:t xml:space="preserve">1.5.3 Phạm vi thời gian</w:t>
      </w:r>
    </w:p>
    <w:p>
      <w:pPr>
        <w:pStyle w:val="FirstParagraph"/>
      </w:pPr>
      <w:r>
        <w:t xml:space="preserve">Phạm vi thời gian của nghiên cứu có hai mức. Đối với phase meta-analysis, luận án tổng hợp các nghiên cứu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2009-2025, bao gồm 101.185 doanh nghiệp với 108 cặp quốc gia-năm trải qua 14 mốc khảo sát.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27"/>
    <w:bookmarkEnd w:id="28"/>
    <w:bookmarkStart w:id="29"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mixed synthesis-empirical, sự kết hợp giữa meta-analysis và phân tích thực nghiệm đa quốc gia,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moderator quan trọng trong các nghiên cứu,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inverted-U và xác định điểm turning point trong quan hệ phi tuyến (Haans et al., 2016; Lind &amp; Mehlum, 2010).</w:t>
      </w:r>
    </w:p>
    <w:p>
      <w:r>
        <w:pict>
          <v:rect style="width:0;height:1.5pt" o:hralign="center" o:hrstd="t" o:hr="t"/>
        </w:pict>
      </w:r>
    </w:p>
    <w:bookmarkEnd w:id="29"/>
    <w:bookmarkStart w:id="30" w:name="giả-thuyết-khoa-học-tóm-tắt"/>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cụ thể là dạng inverted-U,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được hiểu là proxy foundational digital adoption,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Frontier và Pacific SIDS extreme. Đặc điểm nhà quản trị cấp cao, cụ thể là kinh nghiệm quốc tế và đa dạng giới tính, điều tiết dương quan hệ I-P thông qua cơ chế tăng cường nhận diện cơ hội và quản trị rủi ro. Ngoài sáu giả thuyết trọng tâm H1-H6, luận án phát biểu thêm giả thuyết điều kiện biên H1b: tại các nền kinh tế Pacific SIDS (ICRV Nhóm VI), nơi ba điều kiện cấu trúc tối thiểu đồng thời bị vi phạm, thị trường nội địa quá nhỏ, chi phí thương mại cực cao, và thiếu hỗ trợ thể chế,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30"/>
    <w:bookmarkStart w:id="34" w:name="ý-nghĩa-khoa-học-và-thực-tiễn"/>
    <w:p>
      <w:pPr>
        <w:pStyle w:val="Heading2"/>
      </w:pPr>
      <w:r>
        <w:t xml:space="preserve">1.8 Ý nghĩa khoa học và thực tiễn</w:t>
      </w:r>
    </w:p>
    <w:bookmarkStart w:id="31" w:name="đóng-góp-lý-thuyết"/>
    <w:p>
      <w:pPr>
        <w:pStyle w:val="Heading3"/>
      </w:pPr>
      <w:r>
        <w:t xml:space="preserve">1.8.1 Đóng góp lý thuyết</w:t>
      </w:r>
    </w:p>
    <w:p>
      <w:pPr>
        <w:pStyle w:val="FirstParagraph"/>
      </w:pPr>
      <w:r>
        <w:t xml:space="preserve">Về mặt lý thuyết, luận án đóng góp vào tài liệu nghiên cứu kinh doanh quốc tế theo ba hướng chính. Hướng thứ nhất là tích hợp bốn lý thuyết kinh điển, Uppsala model, Resource-Based View, Institutional Theory và Upper Echelons Theory,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các nghiên cứu về số hóa và quốc tế hóa. Hướng thứ ba là tái định vị Uppsala model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construct lý thuyết mới chưa được định danh trong tài liệu nghiên cứu kinh doanh quốc tế, như điều kiện biên cực đoan của mô hình chữ U ngược khi cả ba tầng của khung CDCM (thể chế, năng lực, quản trị) đồng thời ở mức tối thiểu. Bằng chứng thực nghiệm từ chín nền kinh tế Pacific SIDS xác nhận quan hệ âm đơn điệu không có điểm uốn, mở ra hướng nghiên cứu mới về điều kiện biên của lý thuyết quốc tế hóa.</w:t>
      </w:r>
    </w:p>
    <w:bookmarkEnd w:id="31"/>
    <w:bookmarkStart w:id="32"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các nghiên cứu toàn cầu và bằng chứng thực nghiệm từ bối cảnh châu Á. Hướng thứ hai là phát triển và áp dụng khung phân loại thể chế ICRV cho 47 nền kinh tế, cung cấp một công cụ phân loại mới có ứng dụng tiềm năng trong nhiều nghiên cứu tương lai về moderating effect của thể chế trong tài liệu nghiên cứu kinh doanh quốc tế.</w:t>
      </w:r>
    </w:p>
    <w:bookmarkEnd w:id="32"/>
    <w:bookmarkStart w:id="33"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digital shield effect</w:t>
      </w:r>
      <w:r>
        <w:t xml:space="preserve">”</w:t>
      </w:r>
      <w:r>
        <w:t xml:space="preserve">, trong đó năng lực số làm giảm tác động tiêu cực của rào cản thể chế đối với doanh nghiệp quốc tế hóa (Do &amp; Phan, 2026a). Cơ chế này được luận án kiểm định trên phạm vi rộng hơn với 47-49 nền kinh tế châu Á và Thái Bình Dương.</w:t>
      </w:r>
    </w:p>
    <w:p>
      <w:r>
        <w:pict>
          <v:rect style="width:0;height:1.5pt" o:hralign="center" o:hrstd="t" o:hr="t"/>
        </w:pict>
      </w:r>
    </w:p>
    <w:bookmarkEnd w:id="33"/>
    <w:bookmarkEnd w:id="34"/>
    <w:bookmarkStart w:id="35" w:name="tính-mới-của-đề-tài"/>
    <w:p>
      <w:pPr>
        <w:pStyle w:val="Heading2"/>
      </w:pPr>
      <w:r>
        <w:t xml:space="preserve">1.9 Tính mới của đề tài</w:t>
      </w:r>
    </w:p>
    <w:p>
      <w:pPr>
        <w:pStyle w:val="FirstParagraph"/>
      </w:pPr>
      <w:r>
        <w:t xml:space="preserve">Luận án có năm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47 nền kinh tế, bao gồm cả 6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101.185 doanh nghiệp từ 47-49 nền kinh tế châu Á và Thái Bình Dương, mở rộng đáng kể từ pool 17 nước (Do &amp; Phan, 2026a) là nền tảng hiện có lớn nhất trước khi luận án hoàn thành. Điểm mới thứ năm là kiểm định temporal stability của turning point trong quan hệ I-P tại Trung Quốc, cho phép đánh giá liệu cấu trúc phi tuyến đó có ổn định qua hơn một thập kỷ chuyển đổi số hay không. Kết quả phân tích của luận án cho thấy turning point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chín nền kinh tế Pacific SIDS, lần đầu tiên trong tài liệu nghiên cứu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35"/>
    <w:bookmarkStart w:id="36"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meta-analysis cập nhật 1982-2026, phân tích theo bối cảnh quốc gia cụ thể, và phân tích đa quốc gia capstone trên pool đầy đủ 47-49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sáu nghiên cứu thành phần (P3-P8):</w:t>
      </w:r>
      <w:r>
        <w:t xml:space="preserve"> </w:t>
      </w:r>
      <w:r>
        <w:t xml:space="preserve">Luận án tích hợp sáu nghiên cứu thành phần được công bố hoặc đang trong quá trình xem xét tại các tạp chí ISI/Scopus.</w:t>
      </w:r>
      <w:r>
        <w:t xml:space="preserve"> </w:t>
      </w:r>
      <w:r>
        <w:rPr>
          <w:bCs/>
          <w:b/>
        </w:rPr>
        <w:t xml:space="preserve">P3</w:t>
      </w:r>
      <w:r>
        <w:t xml:space="preserve"> </w:t>
      </w:r>
      <w:r>
        <w:t xml:space="preserve">(Việt Nam, JABS, under review): kiểm định inverted-U tại Nhóm IV ICRV, turning point = 39,3-46,2% FSTS, TCI là level-shifter có ý nghĩa.</w:t>
      </w:r>
      <w:r>
        <w:t xml:space="preserve"> </w:t>
      </w:r>
      <w:r>
        <w:rPr>
          <w:bCs/>
          <w:b/>
        </w:rPr>
        <w:t xml:space="preserve">P4</w:t>
      </w:r>
      <w:r>
        <w:t xml:space="preserve"> </w:t>
      </w:r>
      <w:r>
        <w:t xml:space="preserve">(Singapore, MIR, under review): kiểm định tại Nhóm I ICRV, turning point</w:t>
      </w:r>
      <w:r>
        <w:t xml:space="preserve"> </w:t>
      </w:r>
      <m:oMath>
        <m:r>
          <m:rPr>
            <m:sty m:val="p"/>
          </m:rPr>
          <m:t>≈</m:t>
        </m:r>
      </m:oMath>
      <w:r>
        <w:t xml:space="preserve"> </w:t>
      </w:r>
      <w:r>
        <w:t xml:space="preserve">88,6%, DAI Tier-1+2 khuếch đại đường cong I-P.</w:t>
      </w:r>
      <w:r>
        <w:t xml:space="preserve"> </w:t>
      </w:r>
      <w:r>
        <w:rPr>
          <w:bCs/>
          <w:b/>
        </w:rPr>
        <w:t xml:space="preserve">P5</w:t>
      </w:r>
      <w:r>
        <w:t xml:space="preserve"> </w:t>
      </w:r>
      <w:r>
        <w:t xml:space="preserve">(Trung Quốc, IJOEM, under review): kiểm định temporal stability, turning point ổn định qua 2012-2024 (</w:t>
      </w:r>
      <m:oMath>
        <m:r>
          <m:rPr>
            <m:sty m:val="p"/>
          </m:rPr>
          <m:t>≈</m:t>
        </m:r>
      </m:oMath>
      <w:r>
        <w:t xml:space="preserve"> </w:t>
      </w:r>
      <w:r>
        <w:t xml:space="preserve">48,78%, Paternoster z = 0,82, p =,412).</w:t>
      </w:r>
      <w:r>
        <w:t xml:space="preserve"> </w:t>
      </w:r>
      <w:r>
        <w:rPr>
          <w:bCs/>
          <w:b/>
        </w:rPr>
        <w:t xml:space="preserve">P6</w:t>
      </w:r>
      <w:r>
        <w:t xml:space="preserve"> </w:t>
      </w:r>
      <w:r>
        <w:t xml:space="preserve">(meta-analysis ba tầng, IBR, under review): k = 238 nghiên cứu, r̄ = 0,074, I² = 62,4%, gradient ICRV Q_M = 17,35 (df = 4, p =,002).</w:t>
      </w:r>
      <w:r>
        <w:t xml:space="preserve"> </w:t>
      </w:r>
      <w:r>
        <w:rPr>
          <w:bCs/>
          <w:b/>
        </w:rPr>
        <w:t xml:space="preserve">P7</w:t>
      </w:r>
      <w:r>
        <w:t xml:space="preserve"> </w:t>
      </w:r>
      <w:r>
        <w:t xml:space="preserve">(49 nền kinh tế, JIBS, under revision): N = 84.910 quan sát, turning point trung bình ~36%, DAI×ICRV (p =,012), kiểm định tích hợp CDCM đầu tiên ở quy mô liên quốc gia lớn.</w:t>
      </w:r>
      <w:r>
        <w:t xml:space="preserve"> </w:t>
      </w:r>
      <w:r>
        <w:rPr>
          <w:bCs/>
          <w:b/>
        </w:rPr>
        <w:t xml:space="preserve">P8</w:t>
      </w:r>
      <w:r>
        <w:t xml:space="preserve"> </w:t>
      </w:r>
      <w:r>
        <w:t xml:space="preserve">(Pacific SIDS, World Development, under revision): boundary condition FIP, quan hệ âm đơn điệu (</w:t>
      </w:r>
      <m:oMath>
        <m:sSub>
          <m:e>
            <m:acc>
              <m:accPr>
                <m:chr m:val="̂"/>
              </m:accPr>
              <m:e>
                <m:r>
                  <m:t>β</m:t>
                </m:r>
              </m:e>
            </m:acc>
          </m:e>
          <m:sub>
            <m:r>
              <m:rPr>
                <m:nor/>
                <m:sty m:val="p"/>
              </m:rPr>
              <m:t>FSTS</m:t>
            </m:r>
          </m:sub>
        </m:sSub>
        <m:r>
          <m:rPr>
            <m:sty m:val="p"/>
          </m:rPr>
          <m:t>=</m:t>
        </m:r>
        <m:r>
          <m:rPr>
            <m:sty m:val="p"/>
          </m:rPr>
          <m:t>−</m:t>
        </m:r>
        <m:r>
          <m:t>0</m:t>
        </m:r>
        <m:r>
          <m:rPr>
            <m:sty m:val="p"/>
          </m:rPr>
          <m:t>,</m:t>
        </m:r>
        <m:r>
          <m:t>404</m:t>
        </m:r>
      </m:oMath>
      <w:r>
        <w:t xml:space="preserve">,</w:t>
      </w:r>
      <w:r>
        <w:t xml:space="preserve"> </w:t>
      </w:r>
      <m:oMath>
        <m:r>
          <m:t>p</m:t>
        </m:r>
        <m:r>
          <m:rPr>
            <m:sty m:val="p"/>
          </m:rPr>
          <m:t>&lt;</m:t>
        </m:r>
        <m:r>
          <m:rPr>
            <m:sty m:val="p"/>
          </m:rPr>
          <m:t>,</m:t>
        </m:r>
        <m:r>
          <m:t>05</m:t>
        </m:r>
      </m:oMath>
      <w:r>
        <w:t xml:space="preserve">), xác nhận H1b tại chín nền kinh tế SIDS Thái Bình Dương. Kết quả P3-P8 được trình bày chi tiết trong Chương 4 và tích hợp vào bàn luận CDCM trong Chương 5.</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technological capability index; DAI là chỉ số chấp nhận số (digital adoption index), được hiểu như proxy foundational digital adoption; ICRV là khung phân loại thể chế 6 nhóm được phát triển cho luận án này; WBES là World Bank Enterprise Surveys.</w:t>
      </w:r>
    </w:p>
    <w:bookmarkEnd w:id="3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2026-05-25T09:16:32Z</dcterms:created>
  <dcterms:modified xsi:type="dcterms:W3CDTF">2026-05-25T09:16:32Z</dcterms:modified>
</cp:coreProperties>
</file>

<file path=docProps/custom.xml><?xml version="1.0" encoding="utf-8"?>
<Properties xmlns="http://schemas.openxmlformats.org/officeDocument/2006/custom-properties" xmlns:vt="http://schemas.openxmlformats.org/officeDocument/2006/docPropsVTypes"/>
</file>