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 185 firms · 108 country-year pairs · 14 survey waves</w:t>
      </w:r>
      <w:r>
        <w:t xml:space="preserve"> </w:t>
      </w:r>
      <w:r>
        <w:t xml:space="preserve">from the World Bank Enterprise Surveys (WBES). Building on and extending the 17-economy pool of emerging Asia (~40, 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 1% năm 2026; ADB (2026, tháng 4) dự báo Pacific 3, 4%, Đông Nam Á 4, 7%, Việt Nam 7, 0%. Riêng Việt Nam, ADB (2026, tháng 4) ghi nhận GDP lịch sử 2025 đạt 8, 0% và cập nhật dự báo 7, 2% (2026) → 7, 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 5 lần phạm vi của Đỗ &amp; Phan (2026, VEFR).</w:t>
      </w:r>
    </w:p>
    <w:p>
      <w:pPr>
        <w:pStyle w:val="BodyText"/>
      </w:pPr>
      <w:r>
        <w:rPr>
          <w:bCs/>
          <w:b/>
        </w:rPr>
        <w:t xml:space="preserve">Ẩn dụ minh họa, Fiji và Singapore</w:t>
      </w:r>
      <w:r>
        <w:t xml:space="preserve">: Trường hợp Fiji 2025 với tỷ lệ website 74, 8% vượt Singapore 66, 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Đang nổi, Emerging (7 nước)</w:t>
      </w:r>
      <w:r>
        <w:t xml:space="preserve">: Việt Nam, Indonesia, Philippines, Ấn Độ, Sri Lanka, Jordan, Mông Cổ.</w:t>
      </w:r>
    </w:p>
    <w:p>
      <w:pPr>
        <w:numPr>
          <w:ilvl w:val="0"/>
          <w:numId w:val="1006"/>
        </w:numPr>
        <w:pStyle w:val="Compact"/>
      </w:pP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7 SIDS Thái Bình Dương</w:t>
      </w:r>
      <w:r>
        <w:t xml:space="preserve"> </w:t>
      </w:r>
      <w:r>
        <w:t xml:space="preserve">(n=1.371, 1, 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Tỷ số phân tán Singapore (1, 03) so với Vùng Vịnh (0, 49) ≈ 2, 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 03%, FDI 0, 7%, website 18, 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 7%→2, 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 9% pool; bao gồm Nepal 2025 BREADY Micro n=1.740) sử dụng schema mới BREADY gây biến động bất thường: Ấn Độ FSTS giảm từ 7, 7% xuống 2, 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 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 3%) và FSTS cao liên kết FDI ở Việt Nam (23, 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 9%, R&amp;D 16, 7%) có năng suất vượt trội; (b) năng lực hấp thụ (Cohen &amp; Levinthal, 1990) giải thích tại sao tác động lan tỏa FDI tích cực hơn ở Ấn Độ với R&amp;D 19, 8% so với Việt Nam 6, 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 9 triệu dân, GDP bình quân đầu người ~80.000 USD), Trung Quốc (1, 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 3%, FDI 0, 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 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 119, p=0, 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 639, p&lt;0, 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 80; GNI bình quân đầu người &gt;30.000 USD (phương pháp Atlas WB); GDP tăng trưởng dựa trên đổi mới công nghệ, dịch vụ tài chính và hàm lượng tri thức cao. Bằng chứng WBES: R&amp;D &gt;10%, ISO &gt;20%, độ lệch chuẩn log năng suất ~1, 03 (đa dạng hóa).</w:t>
      </w:r>
    </w:p>
    <w:p>
      <w:pPr>
        <w:pStyle w:val="BodyText"/>
      </w:pPr>
      <w:r>
        <w:rPr>
          <w:bCs/>
          <w:b/>
        </w:rPr>
        <w:t xml:space="preserve">Nhóm II, Advanced tài nguyên dẫn dắt</w:t>
      </w:r>
      <w:r>
        <w:t xml:space="preserve">: WGI Rule of Law trung bình (+0, 00 → +0, 50); GNI bình quân đầu người &gt;20.000 USD; GDP tăng trưởng dựa trên xuất khẩu tài nguyên thiên nhiên (dầu mỏ, khí đốt, khoáng sản). Bằng chứng WBES: FDI cao hướng khai thác tài nguyên, độ lệch chuẩn log năng suất thấp (~0, 49, đặc trưng nhà nước tô).</w:t>
      </w:r>
    </w:p>
    <w:p>
      <w:pPr>
        <w:pStyle w:val="BodyText"/>
      </w:pPr>
      <w:r>
        <w:rPr>
          <w:bCs/>
          <w:b/>
        </w:rPr>
        <w:t xml:space="preserve">Nhóm III, Trung bình cao (Upper-middle)</w:t>
      </w:r>
      <w:r>
        <w:t xml:space="preserve">: WGI Rule of Law 0, 00 → +0, 80; GNI bình quân đầu người 5.000–20.000 USD; nền kinh tế chuyển đổi từ sản xuất sang dịch vụ, với R&amp;D đang tăng (đặc biệt Trung Quốc). Pattern WBES: FSTS sản xuất cao, R&amp;D tăng mạnh giai đoạn 2018–2025 (+21, 5 điểm phần trăm).</w:t>
      </w:r>
    </w:p>
    <w:p>
      <w:pPr>
        <w:pStyle w:val="BodyText"/>
      </w:pPr>
      <w:r>
        <w:rPr>
          <w:bCs/>
          <w:b/>
        </w:rPr>
        <w:t xml:space="preserve">Nhóm IV, Đang nổi (Emerging)</w:t>
      </w:r>
      <w:r>
        <w:t xml:space="preserve">: WGI Rule of Law -0, 50 → 0, 00; GNI bình quân đầu người 1.000–5.000 USD; tốc độ tăng trưởng cao nhưng gap de jure–de facto lớn (Xu, 2024); sản xuất FDI-driven dẫn dắt xuất khẩu. Pattern WBES: FSTS phân cực cao/thấp trong nội bộ nhóm; FDI thấp nhất (4, 7%) do doanh nghiệp nội địa chi phối mẫu.</w:t>
      </w:r>
    </w:p>
    <w:p>
      <w:pPr>
        <w:pStyle w:val="BodyText"/>
      </w:pPr>
      <w:r>
        <w:rPr>
          <w:bCs/>
          <w:b/>
        </w:rPr>
        <w:t xml:space="preserve">Nhóm V, Cận biên (Frontier)</w:t>
      </w:r>
      <w:r>
        <w:t xml:space="preserve">: WGI Rule of Law &lt; -0, 50; GNI bình quân đầu người &lt;1.000 hoặc &lt;3.000 USD với voids thể chế lớn; nhiều nước đang qua giai đoạn xung đột hoặc chuyển đổi sau xung đột. Pattern WBES: phân tán năng suất cao nhất (độ lệch chuẩn log 1, 36), R&amp;D thấp nhất, nhưng đổi mới sản phẩm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 4% pool); FDI cao nhất (23, 5%, do MNE du lịch); đổi mới sản phẩm cao nhất (41, 5%, đổi mới bằng nguồn lực hạn chế); website cao ngoại trừ Kiribati (18, 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 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 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 03</w:t>
            </w:r>
          </w:p>
        </w:tc>
        <w:tc>
          <w:tcPr/>
          <w:p>
            <w:pPr>
              <w:pStyle w:val="Compact"/>
              <w:jc w:val="left"/>
            </w:pPr>
            <w:r>
              <w:t xml:space="preserve">U ngược nhẹ / tuyến tính dương; điểm uốn ~82% (SG)</w:t>
            </w:r>
          </w:p>
        </w:tc>
      </w:tr>
      <w:tr>
        <w:tc>
          <w:tcPr/>
          <w:p>
            <w:pPr>
              <w:pStyle w:val="Compact"/>
              <w:jc w:val="left"/>
            </w:pPr>
            <w:r>
              <w:t xml:space="preserve">II, Resource</w:t>
            </w:r>
          </w:p>
        </w:tc>
        <w:tc>
          <w:tcPr/>
          <w:p>
            <w:pPr>
              <w:pStyle w:val="Compact"/>
              <w:jc w:val="left"/>
            </w:pPr>
            <w:r>
              <w:t xml:space="preserve">+0, 00→+0, 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 49</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 00→+0, 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 29</w:t>
            </w:r>
          </w:p>
        </w:tc>
        <w:tc>
          <w:tcPr/>
          <w:p>
            <w:pPr>
              <w:pStyle w:val="Compact"/>
              <w:jc w:val="left"/>
            </w:pPr>
            <w:r>
              <w:t xml:space="preserve">U ngược; điểm uốn ~47% (CHN Đỗ &amp; Phan, 2026)</w:t>
            </w:r>
          </w:p>
        </w:tc>
      </w:tr>
      <w:tr>
        <w:tc>
          <w:tcPr/>
          <w:p>
            <w:pPr>
              <w:pStyle w:val="Compact"/>
              <w:jc w:val="left"/>
            </w:pPr>
            <w:r>
              <w:t xml:space="preserve">IV, Emerging</w:t>
            </w:r>
          </w:p>
        </w:tc>
        <w:tc>
          <w:tcPr/>
          <w:p>
            <w:pPr>
              <w:pStyle w:val="Compact"/>
              <w:jc w:val="left"/>
            </w:pPr>
            <w:r>
              <w:t xml:space="preserve">-0, 50→0, 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 24</w:t>
            </w:r>
          </w:p>
        </w:tc>
        <w:tc>
          <w:tcPr/>
          <w:p>
            <w:pPr>
              <w:pStyle w:val="Compact"/>
              <w:jc w:val="left"/>
            </w:pPr>
            <w:r>
              <w:t xml:space="preserve">U ngược; điểm uốn 39–46% (VNM), bẫy chuyển hướng nguồn lực</w:t>
            </w:r>
          </w:p>
        </w:tc>
      </w:tr>
      <w:tr>
        <w:tc>
          <w:tcPr/>
          <w:p>
            <w:pPr>
              <w:pStyle w:val="Compact"/>
              <w:jc w:val="left"/>
            </w:pPr>
            <w:r>
              <w:t xml:space="preserve">V, Frontier</w:t>
            </w:r>
          </w:p>
        </w:tc>
        <w:tc>
          <w:tcPr/>
          <w:p>
            <w:pPr>
              <w:pStyle w:val="Compact"/>
              <w:jc w:val="left"/>
            </w:pPr>
            <w:r>
              <w:t xml:space="preserve">&lt;-0, 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 36</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 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 5 lần. Phân bố theo phân nhóm con ICRV: Emerging 47.803 (47%), Frontier 28.678 (28%), Upper-middle 16.693 (17%), Advanced 6.640 (7%),</w:t>
      </w:r>
      <w:r>
        <w:t xml:space="preserve"> </w:t>
      </w:r>
      <w:r>
        <w:rPr>
          <w:bCs/>
          <w:b/>
        </w:rPr>
        <w:t xml:space="preserve">SIDS 1.371 (1, 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 9% pool (14 quốc gia, bao gồm Nepal 2025 BREADY Micro n=1.740).</w:t>
      </w:r>
    </w:p>
    <w:p>
      <w:pPr>
        <w:pStyle w:val="BodyText"/>
      </w:pPr>
      <w:r>
        <w:rPr>
          <w:iCs/>
          <w:i/>
        </w:rPr>
        <w:t xml:space="preserve">Hình 2.3.3.2. Bar chart phân bố theo 5 phân nhóm con: Emerging (47.803, 47, 2%), Frontier (28.678, 28, 3%), Upper-middle (16.693, 16, 5%), Advanced (6.640, 6, 6%), SIDS Thái Bình Dương (1.371, 1, 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1, 03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0, 49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0, 86</w:t>
            </w:r>
          </w:p>
        </w:tc>
        <w:tc>
          <w:tcPr/>
          <w:p>
            <w:pPr>
              <w:pStyle w:val="Compact"/>
              <w:jc w:val="left"/>
            </w:pPr>
            <w:r>
              <w:t xml:space="preserve">10, 8</w:t>
            </w:r>
          </w:p>
        </w:tc>
        <w:tc>
          <w:tcPr/>
          <w:p>
            <w:pPr>
              <w:pStyle w:val="Compact"/>
              <w:jc w:val="left"/>
            </w:pPr>
            <w:r>
              <w:t xml:space="preserve">3, 1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1, 29</w:t>
            </w:r>
          </w:p>
        </w:tc>
        <w:tc>
          <w:tcPr/>
          <w:p>
            <w:pPr>
              <w:pStyle w:val="Compact"/>
              <w:jc w:val="left"/>
            </w:pPr>
            <w:r>
              <w:t xml:space="preserve">27, 7</w:t>
            </w:r>
          </w:p>
        </w:tc>
        <w:tc>
          <w:tcPr/>
          <w:p>
            <w:pPr>
              <w:pStyle w:val="Compact"/>
              <w:jc w:val="left"/>
            </w:pPr>
            <w:r>
              <w:t xml:space="preserve">5, 4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1, 24</w:t>
            </w:r>
          </w:p>
        </w:tc>
        <w:tc>
          <w:tcPr/>
          <w:p>
            <w:pPr>
              <w:pStyle w:val="Compact"/>
              <w:jc w:val="left"/>
            </w:pPr>
            <w:r>
              <w:t xml:space="preserve">30, 6</w:t>
            </w:r>
          </w:p>
        </w:tc>
        <w:tc>
          <w:tcPr/>
          <w:p>
            <w:pPr>
              <w:pStyle w:val="Compact"/>
              <w:jc w:val="left"/>
            </w:pPr>
            <w:r>
              <w:t xml:space="preserve">5, 1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1, 36</w:t>
            </w:r>
          </w:p>
        </w:tc>
        <w:tc>
          <w:tcPr/>
          <w:p>
            <w:pPr>
              <w:pStyle w:val="Compact"/>
              <w:jc w:val="left"/>
            </w:pPr>
            <w:r>
              <w:t xml:space="preserve">39, 6</w:t>
            </w:r>
          </w:p>
        </w:tc>
        <w:tc>
          <w:tcPr/>
          <w:p>
            <w:pPr>
              <w:pStyle w:val="Compact"/>
              <w:jc w:val="left"/>
            </w:pPr>
            <w:r>
              <w:t xml:space="preserve">6, 1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1, 32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 03) so với Vùng Vịnh (0, 49) ≈</w:t>
      </w:r>
      <w:r>
        <w:rPr>
          <w:iCs/>
          <w:i/>
        </w:rPr>
        <w:t xml:space="preserve"> </w:t>
      </w:r>
      <w:r>
        <w:rPr>
          <w:bCs/>
          <w:b/>
          <w:iCs/>
          <w:i/>
        </w:rPr>
        <w:t xml:space="preserve">2, 1 lần</w:t>
      </w:r>
      <w:r>
        <w:rPr>
          <w:iCs/>
          <w:i/>
        </w:rPr>
        <w:t xml:space="preserve">. Hàng SIDS bao gồm Kiribati 2025 (n=150, độ lệch chuẩn log 1, 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 03), Advanced resource (sd 0, 49), Upper-middle (1, 29), Emerging (1, 24), Frontier (1, 36), SIDS (1, 32). Phân nhóm tài nguyên dẫn dắt (Vùng Vịnh) phân tán hẹp nhất; Frontier rộng nhất.</w:t>
      </w:r>
    </w:p>
    <w:p>
      <w:pPr>
        <w:pStyle w:val="BodyText"/>
      </w:pPr>
      <w:r>
        <w:t xml:space="preserve">Năm phát hiện chính từ Bảng 2.3.3.1: (1) Phân tán Advanced gộp giảm từ 1, 00 → 0, 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 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3, 15</w:t>
            </w:r>
          </w:p>
        </w:tc>
      </w:tr>
      <w:tr>
        <w:tc>
          <w:tcPr/>
          <w:p>
            <w:pPr>
              <w:pStyle w:val="Compact"/>
              <w:jc w:val="left"/>
            </w:pPr>
            <w:r>
              <w:t xml:space="preserve">Upper-middle</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4, 25</w:t>
            </w:r>
          </w:p>
        </w:tc>
      </w:tr>
      <w:tr>
        <w:tc>
          <w:tcPr/>
          <w:p>
            <w:pPr>
              <w:pStyle w:val="Compact"/>
              <w:jc w:val="left"/>
            </w:pPr>
            <w:r>
              <w:t xml:space="preserve">Emerging</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2, 81</w:t>
            </w:r>
          </w:p>
        </w:tc>
      </w:tr>
      <w:tr>
        <w:tc>
          <w:tcPr/>
          <w:p>
            <w:pPr>
              <w:pStyle w:val="Compact"/>
              <w:jc w:val="left"/>
            </w:pPr>
            <w:r>
              <w:t xml:space="preserve">Frontier</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3, 65</w:t>
            </w:r>
          </w:p>
        </w:tc>
      </w:tr>
      <w:tr>
        <w:tc>
          <w:tcPr/>
          <w:p>
            <w:pPr>
              <w:pStyle w:val="Compact"/>
              <w:jc w:val="left"/>
            </w:pPr>
            <w:r>
              <w:t xml:space="preserve">SIDS</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5, 77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 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 Thái Bình Dương</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 5%) phản ánh đổi mới bằng nguồn lực hạn chế, sáng tạo không chính thức để bù đắp cho thiếu hụt nguồn lực; website 58, 9% vượt cả nhóm Emerging dù GNI thấp hơn đáng kể. Phân tách rõ TCI so với DAI, kế thừa Đỗ &amp; Phan (2026, VEFR).</w:t>
      </w:r>
    </w:p>
    <w:bookmarkEnd w:id="51"/>
    <w:bookmarkStart w:id="52"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 129 cho DAI ở Advanced trong Spec 1 gợi ý "số hóa làm giảm năng suất ở Singapore/Hàn Quốc",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 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79, 1</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Upper-middle</w:t>
            </w:r>
          </w:p>
        </w:tc>
        <w:tc>
          <w:tcPr/>
          <w:p>
            <w:pPr>
              <w:pStyle w:val="Compact"/>
              <w:jc w:val="left"/>
            </w:pPr>
            <w:r>
              <w:t xml:space="preserve">76, 2</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Emerging</w:t>
            </w:r>
          </w:p>
        </w:tc>
        <w:tc>
          <w:tcPr/>
          <w:p>
            <w:pPr>
              <w:pStyle w:val="Compact"/>
              <w:jc w:val="left"/>
            </w:pPr>
            <w:r>
              <w:t xml:space="preserve">74, 4</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Frontier</w:t>
            </w:r>
          </w:p>
        </w:tc>
        <w:tc>
          <w:tcPr/>
          <w:p>
            <w:pPr>
              <w:pStyle w:val="Compact"/>
              <w:jc w:val="left"/>
            </w:pPr>
            <w:r>
              <w:t xml:space="preserve">85, 0</w:t>
            </w:r>
          </w:p>
        </w:tc>
        <w:tc>
          <w:tcPr/>
          <w:p>
            <w:pPr>
              <w:pStyle w:val="Compact"/>
              <w:jc w:val="left"/>
            </w:pPr>
            <w:r>
              <w:t xml:space="preserve">16, 5</w:t>
            </w:r>
          </w:p>
        </w:tc>
        <w:tc>
          <w:tcPr/>
          <w:p>
            <w:pPr>
              <w:pStyle w:val="Compact"/>
              <w:jc w:val="left"/>
            </w:pPr>
            <w:r>
              <w:t xml:space="preserve">5, 9</w:t>
            </w:r>
          </w:p>
        </w:tc>
      </w:tr>
      <w:tr>
        <w:tc>
          <w:tcPr/>
          <w:p>
            <w:pPr>
              <w:pStyle w:val="Compact"/>
              <w:jc w:val="left"/>
            </w:pPr>
            <w:r>
              <w:t xml:space="preserve">SIDS Thái Bình Dương</w:t>
            </w:r>
          </w:p>
        </w:tc>
        <w:tc>
          <w:tcPr/>
          <w:p>
            <w:pPr>
              <w:pStyle w:val="Compact"/>
              <w:jc w:val="left"/>
            </w:pPr>
            <w:r>
              <w:rPr>
                <w:bCs/>
                <w:b/>
              </w:rPr>
              <w:t xml:space="preserve">88, 5</w:t>
            </w:r>
          </w:p>
        </w:tc>
        <w:tc>
          <w:tcPr/>
          <w:p>
            <w:pPr>
              <w:pStyle w:val="Compact"/>
              <w:jc w:val="left"/>
            </w:pPr>
            <w:r>
              <w:t xml:space="preserve">16, 3</w:t>
            </w:r>
          </w:p>
        </w:tc>
        <w:tc>
          <w:tcPr/>
          <w:p>
            <w:pPr>
              <w:pStyle w:val="Compact"/>
              <w:jc w:val="left"/>
            </w:pPr>
            <w:r>
              <w:rPr>
                <w:bCs/>
                <w:b/>
              </w:rPr>
              <w:t xml:space="preserve">23, 5</w:t>
            </w:r>
          </w:p>
        </w:tc>
      </w:tr>
    </w:tbl>
    <w:p>
      <w:pPr>
        <w:pStyle w:val="BodyText"/>
      </w:pPr>
      <w:r>
        <w:rPr>
          <w:iCs/>
          <w:i/>
        </w:rPr>
        <w:t xml:space="preserve">Hình 2.3.5.1. Stacked bar chart: SIDS Pacific có tỷ lệ SME cao nhất (88, 5%), Frontier kế tiếp (85, 0%), Advanced thấp nhất (79, 1%).</w:t>
      </w:r>
    </w:p>
    <w:p>
      <w:pPr>
        <w:pStyle w:val="BodyText"/>
      </w:pPr>
      <w:r>
        <w:t xml:space="preserve">Tỷ lệ FDI có dạng chữ U với cực tiểu ở Emerging (4, 7%). SIDS có FDI cao nhất (23, 5%) do du lịch và viễn thông được dẫn dắt bởi doanh nghiệp đa quốc gia. Hai mô hình FDI hoàn toàn khác nhau: (i) MNE hub tại Advanced (Singapore FDI 31, 5%,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-9, 9</w:t>
            </w:r>
          </w:p>
        </w:tc>
        <w:tc>
          <w:tcPr/>
          <w:p>
            <w:pPr>
              <w:pStyle w:val="Compact"/>
              <w:jc w:val="left"/>
            </w:pPr>
            <w:r>
              <w:t xml:space="preserve">+1, 4</w:t>
            </w:r>
          </w:p>
        </w:tc>
        <w:tc>
          <w:tcPr/>
          <w:p>
            <w:pPr>
              <w:pStyle w:val="Compact"/>
              <w:jc w:val="left"/>
            </w:pPr>
            <w:r>
              <w:t xml:space="preserve">+2, 3</w:t>
            </w:r>
          </w:p>
        </w:tc>
        <w:tc>
          <w:tcPr/>
          <w:p>
            <w:pPr>
              <w:pStyle w:val="Compact"/>
              <w:jc w:val="left"/>
            </w:pPr>
            <w:r>
              <w:t xml:space="preserve">+21, 5</w:t>
            </w:r>
          </w:p>
        </w:tc>
        <w:tc>
          <w:tcPr/>
          <w:p>
            <w:pPr>
              <w:pStyle w:val="Compact"/>
              <w:jc w:val="left"/>
            </w:pPr>
            <w:r>
              <w:t xml:space="preserve">-25, 4</w:t>
            </w:r>
          </w:p>
        </w:tc>
      </w:tr>
      <w:tr>
        <w:tc>
          <w:tcPr/>
          <w:p>
            <w:pPr>
              <w:pStyle w:val="Compact"/>
              <w:jc w:val="left"/>
            </w:pPr>
            <w:r>
              <w:t xml:space="preserve">Emerging</w:t>
            </w:r>
          </w:p>
        </w:tc>
        <w:tc>
          <w:tcPr/>
          <w:p>
            <w:pPr>
              <w:pStyle w:val="Compact"/>
              <w:jc w:val="left"/>
            </w:pPr>
            <w:r>
              <w:t xml:space="preserve">+20, 3</w:t>
            </w:r>
          </w:p>
        </w:tc>
        <w:tc>
          <w:tcPr/>
          <w:p>
            <w:pPr>
              <w:pStyle w:val="Compact"/>
              <w:jc w:val="left"/>
            </w:pPr>
            <w:r>
              <w:t xml:space="preserve">-7, 5</w:t>
            </w:r>
          </w:p>
        </w:tc>
        <w:tc>
          <w:tcPr/>
          <w:p>
            <w:pPr>
              <w:pStyle w:val="Compact"/>
              <w:jc w:val="left"/>
            </w:pPr>
            <w:r>
              <w:t xml:space="preserve">-10, 9</w:t>
            </w:r>
          </w:p>
        </w:tc>
        <w:tc>
          <w:tcPr/>
          <w:p>
            <w:pPr>
              <w:pStyle w:val="Compact"/>
              <w:jc w:val="left"/>
            </w:pPr>
            <w:r>
              <w:t xml:space="preserve">-42, 1</w:t>
            </w:r>
          </w:p>
        </w:tc>
        <w:tc>
          <w:tcPr/>
          <w:p>
            <w:pPr>
              <w:pStyle w:val="Compact"/>
              <w:jc w:val="left"/>
            </w:pPr>
            <w:r>
              <w:t xml:space="preserve">+1, 9</w:t>
            </w:r>
          </w:p>
        </w:tc>
      </w:tr>
      <w:tr>
        <w:tc>
          <w:tcPr/>
          <w:p>
            <w:pPr>
              <w:pStyle w:val="Compact"/>
              <w:jc w:val="left"/>
            </w:pPr>
            <w:r>
              <w:t xml:space="preserve">Frontier</w:t>
            </w:r>
          </w:p>
        </w:tc>
        <w:tc>
          <w:tcPr/>
          <w:p>
            <w:pPr>
              <w:pStyle w:val="Compact"/>
              <w:jc w:val="left"/>
            </w:pPr>
            <w:r>
              <w:t xml:space="preserve">+22, 1</w:t>
            </w:r>
          </w:p>
        </w:tc>
        <w:tc>
          <w:tcPr/>
          <w:p>
            <w:pPr>
              <w:pStyle w:val="Compact"/>
              <w:jc w:val="left"/>
            </w:pPr>
            <w:r>
              <w:t xml:space="preserve">+1, 5</w:t>
            </w:r>
          </w:p>
        </w:tc>
        <w:tc>
          <w:tcPr/>
          <w:p>
            <w:pPr>
              <w:pStyle w:val="Compact"/>
              <w:jc w:val="left"/>
            </w:pPr>
            <w:r>
              <w:t xml:space="preserve">-6, 5</w:t>
            </w:r>
          </w:p>
        </w:tc>
        <w:tc>
          <w:tcPr/>
          <w:p>
            <w:pPr>
              <w:pStyle w:val="Compact"/>
              <w:jc w:val="left"/>
            </w:pPr>
            <w:r>
              <w:t xml:space="preserve">-18, 9</w:t>
            </w:r>
          </w:p>
        </w:tc>
        <w:tc>
          <w:tcPr/>
          <w:p>
            <w:pPr>
              <w:pStyle w:val="Compact"/>
              <w:jc w:val="left"/>
            </w:pPr>
            <w:r>
              <w:t xml:space="preserve">+18, 5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 1 điểm phần trăm) là cảnh báo hiệu ứng schema: BREADY 2018+ đo R&amp;D theo cách khác làm giảm tỷ lệ báo cáo. Upper-middle là nhóm duy nhất có R&amp;D tăng đáng kể (+21, 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 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e94a7f38103305616bcb3f527e5b632bf794b9f"/>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13, 2</w:t>
            </w:r>
          </w:p>
        </w:tc>
        <w:tc>
          <w:tcPr/>
          <w:p>
            <w:pPr>
              <w:pStyle w:val="Compact"/>
              <w:jc w:val="left"/>
            </w:pPr>
            <w:r>
              <w:t xml:space="preserve">22, 1</w:t>
            </w:r>
          </w:p>
        </w:tc>
        <w:tc>
          <w:tcPr/>
          <w:p>
            <w:pPr>
              <w:pStyle w:val="Compact"/>
              <w:jc w:val="left"/>
            </w:pPr>
            <w:r>
              <w:t xml:space="preserve">11, 4</w:t>
            </w:r>
          </w:p>
        </w:tc>
        <w:tc>
          <w:tcPr/>
          <w:p>
            <w:pPr>
              <w:pStyle w:val="Compact"/>
              <w:jc w:val="left"/>
            </w:pPr>
            <w:r>
              <w:t xml:space="preserve">47, 3</w:t>
            </w:r>
          </w:p>
        </w:tc>
        <w:tc>
          <w:tcPr/>
          <w:p>
            <w:pPr>
              <w:pStyle w:val="Compact"/>
              <w:jc w:val="left"/>
            </w:pPr>
            <w:r>
              <w:t xml:space="preserve">4, 8</w:t>
            </w:r>
          </w:p>
        </w:tc>
        <w:tc>
          <w:tcPr/>
          <w:p>
            <w:pPr>
              <w:pStyle w:val="Compact"/>
              <w:jc w:val="left"/>
            </w:pPr>
            <w:r>
              <w:t xml:space="preserve">18, 8</w:t>
            </w:r>
          </w:p>
        </w:tc>
        <w:tc>
          <w:tcPr/>
          <w:p>
            <w:pPr>
              <w:pStyle w:val="Compact"/>
              <w:jc w:val="left"/>
            </w:pPr>
            <w:r>
              <w:t xml:space="preserve">1, 53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7, 2</w:t>
            </w:r>
          </w:p>
        </w:tc>
        <w:tc>
          <w:tcPr/>
          <w:p>
            <w:pPr>
              <w:pStyle w:val="Compact"/>
              <w:jc w:val="left"/>
            </w:pPr>
            <w:r>
              <w:t xml:space="preserve">13, 8</w:t>
            </w:r>
          </w:p>
        </w:tc>
        <w:tc>
          <w:tcPr/>
          <w:p>
            <w:pPr>
              <w:pStyle w:val="Compact"/>
              <w:jc w:val="left"/>
            </w:pPr>
            <w:r>
              <w:t xml:space="preserve">1, 9</w:t>
            </w:r>
          </w:p>
        </w:tc>
        <w:tc>
          <w:tcPr/>
          <w:p>
            <w:pPr>
              <w:pStyle w:val="Compact"/>
              <w:jc w:val="left"/>
            </w:pPr>
            <w:r>
              <w:t xml:space="preserve">49, 5</w:t>
            </w:r>
          </w:p>
        </w:tc>
        <w:tc>
          <w:tcPr/>
          <w:p>
            <w:pPr>
              <w:pStyle w:val="Compact"/>
              <w:jc w:val="left"/>
            </w:pPr>
            <w:r>
              <w:t xml:space="preserve">19, 8</w:t>
            </w:r>
          </w:p>
        </w:tc>
        <w:tc>
          <w:tcPr/>
          <w:p>
            <w:pPr>
              <w:pStyle w:val="Compact"/>
              <w:jc w:val="left"/>
            </w:pPr>
            <w:r>
              <w:t xml:space="preserve">27, 6</w:t>
            </w:r>
          </w:p>
        </w:tc>
        <w:tc>
          <w:tcPr/>
          <w:p>
            <w:pPr>
              <w:pStyle w:val="Compact"/>
              <w:jc w:val="left"/>
            </w:pPr>
            <w:r>
              <w:t xml:space="preserve">1, 16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5, 0</w:t>
            </w:r>
          </w:p>
        </w:tc>
        <w:tc>
          <w:tcPr/>
          <w:p>
            <w:pPr>
              <w:pStyle w:val="Compact"/>
              <w:jc w:val="left"/>
            </w:pPr>
            <w:r>
              <w:t xml:space="preserve">9, 7</w:t>
            </w:r>
          </w:p>
        </w:tc>
        <w:tc>
          <w:tcPr/>
          <w:p>
            <w:pPr>
              <w:pStyle w:val="Compact"/>
              <w:jc w:val="left"/>
            </w:pPr>
            <w:r>
              <w:t xml:space="preserve">4, 7</w:t>
            </w:r>
          </w:p>
        </w:tc>
        <w:tc>
          <w:tcPr/>
          <w:p>
            <w:pPr>
              <w:pStyle w:val="Compact"/>
              <w:jc w:val="left"/>
            </w:pPr>
            <w:r>
              <w:t xml:space="preserve">50, 1</w:t>
            </w:r>
          </w:p>
        </w:tc>
        <w:tc>
          <w:tcPr/>
          <w:p>
            <w:pPr>
              <w:pStyle w:val="Compact"/>
              <w:jc w:val="left"/>
            </w:pPr>
            <w:r>
              <w:t xml:space="preserve">20, 8</w:t>
            </w:r>
          </w:p>
        </w:tc>
        <w:tc>
          <w:tcPr/>
          <w:p>
            <w:pPr>
              <w:pStyle w:val="Compact"/>
              <w:jc w:val="left"/>
            </w:pPr>
            <w:r>
              <w:t xml:space="preserve">15, 4</w:t>
            </w:r>
          </w:p>
        </w:tc>
        <w:tc>
          <w:tcPr/>
          <w:p>
            <w:pPr>
              <w:pStyle w:val="Compact"/>
              <w:jc w:val="left"/>
            </w:pPr>
            <w:r>
              <w:t xml:space="preserve">1, 16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c>
          <w:tcPr/>
          <w:p>
            <w:pPr>
              <w:pStyle w:val="Compact"/>
              <w:jc w:val="left"/>
            </w:pPr>
            <w:r>
              <w:t xml:space="preserve">49, 2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1, 24</w:t>
            </w:r>
          </w:p>
        </w:tc>
      </w:tr>
    </w:tbl>
    <w:p>
      <w:pPr>
        <w:pStyle w:val="BodyText"/>
      </w:pPr>
      <w:r>
        <w:t xml:space="preserve">Năm phát hiện: (1) FSTS phân tầng 5, 0%–7, 2%–13, 2% bị che giấu khi gộp; (2) FDI chênh lệch 6 lần giữa ASEAN-3 và Nam Á + Tây Á; (3) TCI ngược dấu trong nội bộ nhóm; (4) Mông Cổ là trường hợp biên với đặc điểm tài nguyên; (5) độ lệch chuẩn log 1, 53 so với 1, 16,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2, 7</w:t>
            </w:r>
          </w:p>
        </w:tc>
        <w:tc>
          <w:tcPr/>
          <w:p>
            <w:pPr>
              <w:pStyle w:val="Compact"/>
              <w:jc w:val="left"/>
            </w:pPr>
            <w:r>
              <w:t xml:space="preserve">1, 9</w:t>
            </w:r>
          </w:p>
        </w:tc>
        <w:tc>
          <w:tcPr/>
          <w:p>
            <w:pPr>
              <w:pStyle w:val="Compact"/>
              <w:jc w:val="left"/>
            </w:pPr>
            <w:r>
              <w:t xml:space="preserve">2, 2</w:t>
            </w:r>
          </w:p>
        </w:tc>
        <w:tc>
          <w:tcPr/>
          <w:p>
            <w:pPr>
              <w:pStyle w:val="Compact"/>
              <w:jc w:val="left"/>
            </w:pPr>
            <w:r>
              <w:t xml:space="preserve">41, 8</w:t>
            </w:r>
          </w:p>
        </w:tc>
        <w:tc>
          <w:tcPr/>
          <w:p>
            <w:pPr>
              <w:pStyle w:val="Compact"/>
              <w:jc w:val="left"/>
            </w:pPr>
            <w:r>
              <w:t xml:space="preserve">0, 86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2, 7</w:t>
            </w:r>
          </w:p>
        </w:tc>
        <w:tc>
          <w:tcPr/>
          <w:p>
            <w:pPr>
              <w:pStyle w:val="Compact"/>
              <w:jc w:val="left"/>
            </w:pPr>
            <w:r>
              <w:t xml:space="preserve">9, 5</w:t>
            </w:r>
          </w:p>
        </w:tc>
        <w:tc>
          <w:tcPr/>
          <w:p>
            <w:pPr>
              <w:pStyle w:val="Compact"/>
              <w:jc w:val="left"/>
            </w:pPr>
            <w:r>
              <w:t xml:space="preserve">1, 7</w:t>
            </w:r>
          </w:p>
        </w:tc>
        <w:tc>
          <w:tcPr/>
          <w:p>
            <w:pPr>
              <w:pStyle w:val="Compact"/>
              <w:jc w:val="left"/>
            </w:pPr>
            <w:r>
              <w:t xml:space="preserve">30, 2</w:t>
            </w:r>
          </w:p>
        </w:tc>
        <w:tc>
          <w:tcPr/>
          <w:p>
            <w:pPr>
              <w:pStyle w:val="Compact"/>
              <w:jc w:val="left"/>
            </w:pPr>
            <w:r>
              <w:rPr>
                <w:bCs/>
                <w:b/>
              </w:rPr>
              <w:t xml:space="preserve">0, 49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9, 2</w:t>
            </w:r>
          </w:p>
        </w:tc>
        <w:tc>
          <w:tcPr/>
          <w:p>
            <w:pPr>
              <w:pStyle w:val="Compact"/>
              <w:jc w:val="left"/>
            </w:pPr>
            <w:r>
              <w:t xml:space="preserve">6, 3</w:t>
            </w:r>
          </w:p>
        </w:tc>
        <w:tc>
          <w:tcPr/>
          <w:p>
            <w:pPr>
              <w:pStyle w:val="Compact"/>
              <w:jc w:val="left"/>
            </w:pPr>
            <w:r>
              <w:t xml:space="preserve">8, 7</w:t>
            </w:r>
          </w:p>
        </w:tc>
        <w:tc>
          <w:tcPr/>
          <w:p>
            <w:pPr>
              <w:pStyle w:val="Compact"/>
              <w:jc w:val="left"/>
            </w:pPr>
            <w:r>
              <w:t xml:space="preserve">61, 9</w:t>
            </w:r>
          </w:p>
        </w:tc>
        <w:tc>
          <w:tcPr/>
          <w:p>
            <w:pPr>
              <w:pStyle w:val="Compact"/>
              <w:jc w:val="left"/>
            </w:pPr>
            <w:r>
              <w:t xml:space="preserve">1, 49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16, 1</w:t>
            </w:r>
          </w:p>
        </w:tc>
        <w:tc>
          <w:tcPr/>
          <w:p>
            <w:pPr>
              <w:pStyle w:val="Compact"/>
              <w:jc w:val="left"/>
            </w:pPr>
            <w:r>
              <w:t xml:space="preserve">1, 8</w:t>
            </w:r>
          </w:p>
        </w:tc>
        <w:tc>
          <w:tcPr/>
          <w:p>
            <w:pPr>
              <w:pStyle w:val="Compact"/>
              <w:jc w:val="left"/>
            </w:pPr>
            <w:r>
              <w:t xml:space="preserve">4, 1</w:t>
            </w:r>
          </w:p>
        </w:tc>
        <w:tc>
          <w:tcPr/>
          <w:p>
            <w:pPr>
              <w:pStyle w:val="Compact"/>
              <w:jc w:val="left"/>
            </w:pPr>
            <w:r>
              <w:t xml:space="preserve">48, 8</w:t>
            </w:r>
          </w:p>
        </w:tc>
        <w:tc>
          <w:tcPr/>
          <w:p>
            <w:pPr>
              <w:pStyle w:val="Compact"/>
              <w:jc w:val="left"/>
            </w:pPr>
            <w:r>
              <w:t xml:space="preserve">1, 21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5, 9</w:t>
            </w:r>
          </w:p>
        </w:tc>
        <w:tc>
          <w:tcPr/>
          <w:p>
            <w:pPr>
              <w:pStyle w:val="Compact"/>
              <w:jc w:val="left"/>
            </w:pPr>
            <w:r>
              <w:t xml:space="preserve">3, 2</w:t>
            </w:r>
          </w:p>
        </w:tc>
        <w:tc>
          <w:tcPr/>
          <w:p>
            <w:pPr>
              <w:pStyle w:val="Compact"/>
              <w:jc w:val="left"/>
            </w:pPr>
            <w:r>
              <w:t xml:space="preserve">20, 8</w:t>
            </w:r>
          </w:p>
        </w:tc>
        <w:tc>
          <w:tcPr/>
          <w:p>
            <w:pPr>
              <w:pStyle w:val="Compact"/>
              <w:jc w:val="left"/>
            </w:pPr>
            <w:r>
              <w:t xml:space="preserve">64, 7</w:t>
            </w:r>
          </w:p>
        </w:tc>
        <w:tc>
          <w:tcPr/>
          <w:p>
            <w:pPr>
              <w:pStyle w:val="Compact"/>
              <w:jc w:val="left"/>
            </w:pPr>
            <w:r>
              <w:t xml:space="preserve">1, 30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2, 3</w:t>
            </w:r>
          </w:p>
        </w:tc>
        <w:tc>
          <w:tcPr/>
          <w:p>
            <w:pPr>
              <w:pStyle w:val="Compact"/>
              <w:jc w:val="left"/>
            </w:pPr>
            <w:r>
              <w:t xml:space="preserve">19, 4</w:t>
            </w:r>
          </w:p>
        </w:tc>
        <w:tc>
          <w:tcPr/>
          <w:p>
            <w:pPr>
              <w:pStyle w:val="Compact"/>
              <w:jc w:val="left"/>
            </w:pPr>
            <w:r>
              <w:t xml:space="preserve">0, 6</w:t>
            </w:r>
          </w:p>
        </w:tc>
        <w:tc>
          <w:tcPr/>
          <w:p>
            <w:pPr>
              <w:pStyle w:val="Compact"/>
              <w:jc w:val="left"/>
            </w:pPr>
            <w:r>
              <w:t xml:space="preserve">63, 3</w:t>
            </w:r>
          </w:p>
        </w:tc>
        <w:tc>
          <w:tcPr/>
          <w:p>
            <w:pPr>
              <w:pStyle w:val="Compact"/>
              <w:jc w:val="left"/>
            </w:pPr>
            <w:r>
              <w:rPr>
                <w:bCs/>
                <w:b/>
              </w:rPr>
              <w:t xml:space="preserve">0, 35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5, 9</w:t>
            </w:r>
          </w:p>
        </w:tc>
        <w:tc>
          <w:tcPr/>
          <w:p>
            <w:pPr>
              <w:pStyle w:val="Compact"/>
              <w:jc w:val="left"/>
            </w:pPr>
            <w:r>
              <w:t xml:space="preserve">1, 0</w:t>
            </w:r>
          </w:p>
        </w:tc>
        <w:tc>
          <w:tcPr/>
          <w:p>
            <w:pPr>
              <w:pStyle w:val="Compact"/>
              <w:jc w:val="left"/>
            </w:pPr>
            <w:r>
              <w:t xml:space="preserve">25, 8</w:t>
            </w:r>
          </w:p>
        </w:tc>
        <w:tc>
          <w:tcPr/>
          <w:p>
            <w:pPr>
              <w:pStyle w:val="Compact"/>
              <w:jc w:val="left"/>
            </w:pPr>
            <w:r>
              <w:t xml:space="preserve">47, 2</w:t>
            </w:r>
          </w:p>
        </w:tc>
        <w:tc>
          <w:tcPr/>
          <w:p>
            <w:pPr>
              <w:pStyle w:val="Compact"/>
              <w:jc w:val="left"/>
            </w:pPr>
            <w:r>
              <w:t xml:space="preserve">1, 53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5, 7</w:t>
            </w:r>
          </w:p>
        </w:tc>
        <w:tc>
          <w:tcPr/>
          <w:p>
            <w:pPr>
              <w:pStyle w:val="Compact"/>
              <w:jc w:val="left"/>
            </w:pPr>
            <w:r>
              <w:t xml:space="preserve">4, 5</w:t>
            </w:r>
          </w:p>
        </w:tc>
        <w:tc>
          <w:tcPr/>
          <w:p>
            <w:pPr>
              <w:pStyle w:val="Compact"/>
              <w:jc w:val="left"/>
            </w:pPr>
            <w:r>
              <w:t xml:space="preserve">22, 4</w:t>
            </w:r>
          </w:p>
        </w:tc>
        <w:tc>
          <w:tcPr/>
          <w:p>
            <w:pPr>
              <w:pStyle w:val="Compact"/>
              <w:jc w:val="left"/>
            </w:pPr>
            <w:r>
              <w:rPr>
                <w:bCs/>
                <w:b/>
              </w:rPr>
              <w:t xml:space="preserve">73, 4</w:t>
            </w:r>
          </w:p>
        </w:tc>
        <w:tc>
          <w:tcPr/>
          <w:p>
            <w:pPr>
              <w:pStyle w:val="Compact"/>
              <w:jc w:val="left"/>
            </w:pPr>
            <w:r>
              <w:t xml:space="preserve">1, 63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12, 2</w:t>
            </w:r>
          </w:p>
        </w:tc>
        <w:tc>
          <w:tcPr/>
          <w:p>
            <w:pPr>
              <w:pStyle w:val="Compact"/>
              <w:jc w:val="left"/>
            </w:pPr>
            <w:r>
              <w:t xml:space="preserve">9, 9</w:t>
            </w:r>
          </w:p>
        </w:tc>
        <w:tc>
          <w:tcPr/>
          <w:p>
            <w:pPr>
              <w:pStyle w:val="Compact"/>
              <w:jc w:val="left"/>
            </w:pPr>
            <w:r>
              <w:t xml:space="preserve">18, 8</w:t>
            </w:r>
          </w:p>
        </w:tc>
        <w:tc>
          <w:tcPr/>
          <w:p>
            <w:pPr>
              <w:pStyle w:val="Compact"/>
              <w:jc w:val="left"/>
            </w:pPr>
            <w:r>
              <w:rPr>
                <w:bCs/>
                <w:b/>
              </w:rPr>
              <w:t xml:space="preserve">74, 8</w:t>
            </w:r>
          </w:p>
        </w:tc>
        <w:tc>
          <w:tcPr/>
          <w:p>
            <w:pPr>
              <w:pStyle w:val="Compact"/>
              <w:jc w:val="left"/>
            </w:pPr>
            <w:r>
              <w:t xml:space="preserve">1, 22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4, 8</w:t>
            </w:r>
          </w:p>
        </w:tc>
        <w:tc>
          <w:tcPr/>
          <w:p>
            <w:pPr>
              <w:pStyle w:val="Compact"/>
              <w:jc w:val="left"/>
            </w:pPr>
            <w:r>
              <w:t xml:space="preserve">20, 0</w:t>
            </w:r>
          </w:p>
        </w:tc>
        <w:tc>
          <w:tcPr/>
          <w:p>
            <w:pPr>
              <w:pStyle w:val="Compact"/>
              <w:jc w:val="left"/>
            </w:pPr>
            <w:r>
              <w:t xml:space="preserve">11, 3</w:t>
            </w:r>
          </w:p>
        </w:tc>
        <w:tc>
          <w:tcPr/>
          <w:p>
            <w:pPr>
              <w:pStyle w:val="Compact"/>
              <w:jc w:val="left"/>
            </w:pPr>
            <w:r>
              <w:t xml:space="preserve">53, 3</w:t>
            </w:r>
          </w:p>
        </w:tc>
        <w:tc>
          <w:tcPr/>
          <w:p>
            <w:pPr>
              <w:pStyle w:val="Compact"/>
              <w:jc w:val="left"/>
            </w:pPr>
            <w:r>
              <w:t xml:space="preserve">1, 43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5, 0</w:t>
            </w:r>
          </w:p>
        </w:tc>
        <w:tc>
          <w:tcPr/>
          <w:p>
            <w:pPr>
              <w:pStyle w:val="Compact"/>
              <w:jc w:val="left"/>
            </w:pPr>
            <w:r>
              <w:t xml:space="preserve">26, 2</w:t>
            </w:r>
          </w:p>
        </w:tc>
        <w:tc>
          <w:tcPr/>
          <w:p>
            <w:pPr>
              <w:pStyle w:val="Compact"/>
              <w:jc w:val="left"/>
            </w:pPr>
            <w:r>
              <w:t xml:space="preserve">18, 9</w:t>
            </w:r>
          </w:p>
        </w:tc>
        <w:tc>
          <w:tcPr/>
          <w:p>
            <w:pPr>
              <w:pStyle w:val="Compact"/>
              <w:jc w:val="left"/>
            </w:pPr>
            <w:r>
              <w:rPr>
                <w:bCs/>
                <w:b/>
              </w:rPr>
              <w:t xml:space="preserve">80, 7</w:t>
            </w:r>
          </w:p>
        </w:tc>
        <w:tc>
          <w:tcPr/>
          <w:p>
            <w:pPr>
              <w:pStyle w:val="Compact"/>
              <w:jc w:val="left"/>
            </w:pPr>
            <w:r>
              <w:t xml:space="preserve">1, 38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0, 4</w:t>
            </w:r>
          </w:p>
        </w:tc>
        <w:tc>
          <w:tcPr/>
          <w:p>
            <w:pPr>
              <w:pStyle w:val="Compact"/>
              <w:jc w:val="left"/>
            </w:pPr>
            <w:r>
              <w:t xml:space="preserve">0, 0</w:t>
            </w:r>
          </w:p>
        </w:tc>
        <w:tc>
          <w:tcPr/>
          <w:p>
            <w:pPr>
              <w:pStyle w:val="Compact"/>
              <w:jc w:val="left"/>
            </w:pPr>
            <w:r>
              <w:t xml:space="preserve">20, 7</w:t>
            </w:r>
          </w:p>
        </w:tc>
        <w:tc>
          <w:tcPr/>
          <w:p>
            <w:pPr>
              <w:pStyle w:val="Compact"/>
              <w:jc w:val="left"/>
            </w:pPr>
            <w:r>
              <w:t xml:space="preserve">69, 3</w:t>
            </w:r>
          </w:p>
        </w:tc>
        <w:tc>
          <w:tcPr/>
          <w:p>
            <w:pPr>
              <w:pStyle w:val="Compact"/>
              <w:jc w:val="left"/>
            </w:pPr>
            <w:r>
              <w:t xml:space="preserve">1, 16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1, 0</w:t>
            </w:r>
          </w:p>
        </w:tc>
        <w:tc>
          <w:tcPr/>
          <w:p>
            <w:pPr>
              <w:pStyle w:val="Compact"/>
              <w:jc w:val="left"/>
            </w:pPr>
            <w:r>
              <w:rPr>
                <w:bCs/>
                <w:b/>
              </w:rPr>
              <w:t xml:space="preserve">0, 7</w:t>
            </w:r>
          </w:p>
        </w:tc>
        <w:tc>
          <w:tcPr/>
          <w:p>
            <w:pPr>
              <w:pStyle w:val="Compact"/>
              <w:jc w:val="left"/>
            </w:pPr>
            <w:r>
              <w:rPr>
                <w:bCs/>
                <w:b/>
              </w:rPr>
              <w:t xml:space="preserve">14, 0</w:t>
            </w:r>
          </w:p>
        </w:tc>
        <w:tc>
          <w:tcPr/>
          <w:p>
            <w:pPr>
              <w:pStyle w:val="Compact"/>
              <w:jc w:val="left"/>
            </w:pPr>
            <w:r>
              <w:rPr>
                <w:bCs/>
                <w:b/>
              </w:rPr>
              <w:t xml:space="preserve">18, 7</w:t>
            </w:r>
          </w:p>
        </w:tc>
        <w:tc>
          <w:tcPr/>
          <w:p>
            <w:pPr>
              <w:pStyle w:val="Compact"/>
              <w:jc w:val="left"/>
            </w:pPr>
            <w:r>
              <w:rPr>
                <w:bCs/>
                <w:b/>
              </w:rPr>
              <w:t xml:space="preserve">1, 55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 0*</w:t>
            </w:r>
          </w:p>
        </w:tc>
        <w:tc>
          <w:tcPr/>
          <w:p>
            <w:pPr>
              <w:pStyle w:val="Compact"/>
              <w:jc w:val="left"/>
            </w:pPr>
            <w:r>
              <w:t xml:space="preserve">,</w:t>
            </w:r>
          </w:p>
        </w:tc>
        <w:tc>
          <w:tcPr/>
          <w:p>
            <w:pPr>
              <w:pStyle w:val="Compact"/>
              <w:jc w:val="left"/>
            </w:pPr>
            <w:r>
              <w:t xml:space="preserve">,</w:t>
            </w:r>
          </w:p>
        </w:tc>
        <w:tc>
          <w:tcPr/>
          <w:p>
            <w:pPr>
              <w:pStyle w:val="Compact"/>
              <w:jc w:val="left"/>
            </w:pPr>
            <w:r>
              <w:t xml:space="preserve">22, 6†</w:t>
            </w:r>
          </w:p>
        </w:tc>
        <w:tc>
          <w:tcPr/>
          <w:p>
            <w:pPr>
              <w:pStyle w:val="Compact"/>
              <w:jc w:val="left"/>
            </w:pPr>
            <w:r>
              <w:t xml:space="preserve">1, 15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3, 8</w:t>
            </w:r>
          </w:p>
        </w:tc>
        <w:tc>
          <w:tcPr/>
          <w:p>
            <w:pPr>
              <w:pStyle w:val="Compact"/>
              <w:jc w:val="left"/>
            </w:pPr>
            <w:r>
              <w:rPr>
                <w:bCs/>
                <w:b/>
              </w:rPr>
              <w:t xml:space="preserve">2, 9</w:t>
            </w:r>
          </w:p>
        </w:tc>
        <w:tc>
          <w:tcPr/>
          <w:p>
            <w:pPr>
              <w:pStyle w:val="Compact"/>
              <w:jc w:val="left"/>
            </w:pPr>
            <w:r>
              <w:rPr>
                <w:bCs/>
                <w:b/>
              </w:rPr>
              <w:t xml:space="preserve">5, 4</w:t>
            </w:r>
          </w:p>
        </w:tc>
        <w:tc>
          <w:tcPr/>
          <w:p>
            <w:pPr>
              <w:pStyle w:val="Compact"/>
              <w:jc w:val="left"/>
            </w:pPr>
            <w:r>
              <w:rPr>
                <w:bCs/>
                <w:b/>
              </w:rPr>
              <w:t xml:space="preserve">44, 2</w:t>
            </w:r>
          </w:p>
        </w:tc>
        <w:tc>
          <w:tcPr/>
          <w:p>
            <w:pPr>
              <w:pStyle w:val="Compact"/>
              <w:jc w:val="left"/>
            </w:pPr>
            <w:r>
              <w:rPr>
                <w:bCs/>
                <w:b/>
              </w:rPr>
              <w:t xml:space="preserve">0, 90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 8% &gt; Singapore 66, 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 03%, FDI 0, 7%, website 18, 7%, đối lập hoàn toàn với Fiji. Dị biệt SIDS "số hóa cao" (FJI, MDV) so với "cô lập nông thôn" (KIR), Chuyên đề 2 cần tách 2 phân nhóm con SIDS.</w:t>
      </w:r>
      <w:r>
        <w:t xml:space="preserve">; (8)</w:t>
      </w:r>
      <w:r>
        <w:t xml:space="preserve"> </w:t>
      </w:r>
      <w:r>
        <w:rPr>
          <w:bCs/>
          <w:b/>
        </w:rPr>
        <w:t xml:space="preserve">Nepal Frontier, BREADY Micro schema (n=1.740): 10% bán quốc tế, số hóa 22, 6% (máy tính/tablet), sd log LP 1, 15,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3e0c2f14849a2ac59a836b8f2f5f68dc060f060"/>
    <w:p>
      <w:pPr>
        <w:pStyle w:val="Heading4"/>
      </w:pPr>
      <w:r>
        <w:t xml:space="preserve">2.3.7.1 Singapore (Advanced đổi mới sáng tạo dẫn dắt, n=623, đợt 2023)</w:t>
      </w:r>
    </w:p>
    <w:p>
      <w:pPr>
        <w:pStyle w:val="FirstParagraph"/>
      </w:pPr>
      <w:r>
        <w:t xml:space="preserve">FSTS 7, 1%; doanh nghiệp xuất khẩu 17, 8%; website 66, 1%; ISO 23, 3%; R&amp;D 7, 5%; FDI 31, 5%. Độ lệch chuẩn log năng suất 1, 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 196; tương tác FSTS² × DAI = 3, 119 (p=0, 005); điểm uốn ~88, 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 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2, 7</w:t>
            </w:r>
          </w:p>
        </w:tc>
        <w:tc>
          <w:tcPr/>
          <w:p>
            <w:pPr>
              <w:pStyle w:val="Compact"/>
              <w:jc w:val="left"/>
            </w:pPr>
            <w:r>
              <w:t xml:space="preserve">2, 3</w:t>
            </w:r>
          </w:p>
        </w:tc>
        <w:tc>
          <w:tcPr/>
          <w:p>
            <w:pPr>
              <w:pStyle w:val="Compact"/>
              <w:jc w:val="left"/>
            </w:pPr>
            <w:r>
              <w:rPr>
                <w:bCs/>
                <w:b/>
              </w:rPr>
              <w:t xml:space="preserve">0, 4</w:t>
            </w:r>
          </w:p>
        </w:tc>
        <w:tc>
          <w:tcPr/>
          <w:p>
            <w:pPr>
              <w:pStyle w:val="Compact"/>
              <w:jc w:val="left"/>
            </w:pPr>
            <w:r>
              <w:t xml:space="preserve">7, 1</w:t>
            </w:r>
          </w:p>
        </w:tc>
      </w:tr>
      <w:tr>
        <w:tc>
          <w:tcPr/>
          <w:p>
            <w:pPr>
              <w:pStyle w:val="Compact"/>
              <w:jc w:val="left"/>
            </w:pPr>
            <w:r>
              <w:t xml:space="preserve">FDI ≥10% (%)</w:t>
            </w:r>
          </w:p>
        </w:tc>
        <w:tc>
          <w:tcPr/>
          <w:p>
            <w:pPr>
              <w:pStyle w:val="Compact"/>
              <w:jc w:val="left"/>
            </w:pPr>
            <w:r>
              <w:t xml:space="preserve">9, 5</w:t>
            </w:r>
          </w:p>
        </w:tc>
        <w:tc>
          <w:tcPr/>
          <w:p>
            <w:pPr>
              <w:pStyle w:val="Compact"/>
              <w:jc w:val="left"/>
            </w:pPr>
            <w:r>
              <w:t xml:space="preserve">19, 4</w:t>
            </w:r>
          </w:p>
        </w:tc>
        <w:tc>
          <w:tcPr/>
          <w:p>
            <w:pPr>
              <w:pStyle w:val="Compact"/>
              <w:jc w:val="left"/>
            </w:pPr>
            <w:r>
              <w:t xml:space="preserve">0, 0</w:t>
            </w:r>
          </w:p>
        </w:tc>
        <w:tc>
          <w:tcPr/>
          <w:p>
            <w:pPr>
              <w:pStyle w:val="Compact"/>
              <w:jc w:val="left"/>
            </w:pPr>
            <w:r>
              <w:rPr>
                <w:bCs/>
                <w:b/>
              </w:rPr>
              <w:t xml:space="preserve">31, 5</w:t>
            </w:r>
          </w:p>
        </w:tc>
      </w:tr>
      <w:tr>
        <w:tc>
          <w:tcPr/>
          <w:p>
            <w:pPr>
              <w:pStyle w:val="Compact"/>
              <w:jc w:val="left"/>
            </w:pPr>
            <w:r>
              <w:t xml:space="preserve">R&amp;D dương (%)</w:t>
            </w:r>
          </w:p>
        </w:tc>
        <w:tc>
          <w:tcPr/>
          <w:p>
            <w:pPr>
              <w:pStyle w:val="Compact"/>
              <w:jc w:val="left"/>
            </w:pPr>
            <w:r>
              <w:t xml:space="preserve">1, 7</w:t>
            </w:r>
          </w:p>
        </w:tc>
        <w:tc>
          <w:tcPr/>
          <w:p>
            <w:pPr>
              <w:pStyle w:val="Compact"/>
              <w:jc w:val="left"/>
            </w:pPr>
            <w:r>
              <w:t xml:space="preserve">0, 6</w:t>
            </w:r>
          </w:p>
        </w:tc>
        <w:tc>
          <w:tcPr/>
          <w:p>
            <w:pPr>
              <w:pStyle w:val="Compact"/>
              <w:jc w:val="left"/>
            </w:pPr>
            <w:r>
              <w:rPr>
                <w:bCs/>
                <w:b/>
              </w:rPr>
              <w:t xml:space="preserve">20, 7</w:t>
            </w:r>
          </w:p>
        </w:tc>
        <w:tc>
          <w:tcPr/>
          <w:p>
            <w:pPr>
              <w:pStyle w:val="Compact"/>
              <w:jc w:val="left"/>
            </w:pPr>
            <w:r>
              <w:t xml:space="preserve">7, 5</w:t>
            </w:r>
          </w:p>
        </w:tc>
      </w:tr>
      <w:tr>
        <w:tc>
          <w:tcPr/>
          <w:p>
            <w:pPr>
              <w:pStyle w:val="Compact"/>
              <w:jc w:val="left"/>
            </w:pPr>
            <w:r>
              <w:t xml:space="preserve">sd log năng suất</w:t>
            </w:r>
          </w:p>
        </w:tc>
        <w:tc>
          <w:tcPr/>
          <w:p>
            <w:pPr>
              <w:pStyle w:val="Compact"/>
              <w:jc w:val="left"/>
            </w:pPr>
            <w:r>
              <w:rPr>
                <w:bCs/>
                <w:b/>
              </w:rPr>
              <w:t xml:space="preserve">0, 47</w:t>
            </w:r>
          </w:p>
        </w:tc>
        <w:tc>
          <w:tcPr/>
          <w:p>
            <w:pPr>
              <w:pStyle w:val="Compact"/>
              <w:jc w:val="left"/>
            </w:pPr>
            <w:r>
              <w:rPr>
                <w:bCs/>
                <w:b/>
              </w:rPr>
              <w:t xml:space="preserve">0, 31</w:t>
            </w:r>
          </w:p>
        </w:tc>
        <w:tc>
          <w:tcPr/>
          <w:p>
            <w:pPr>
              <w:pStyle w:val="Compact"/>
              <w:jc w:val="left"/>
            </w:pPr>
            <w:r>
              <w:t xml:space="preserve">1, 15</w:t>
            </w:r>
          </w:p>
        </w:tc>
        <w:tc>
          <w:tcPr/>
          <w:p>
            <w:pPr>
              <w:pStyle w:val="Compact"/>
              <w:jc w:val="left"/>
            </w:pPr>
            <w:r>
              <w:t xml:space="preserve">1, 03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 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 5% xuống 3, 1% do xung đột Trung Đông.</w:t>
      </w:r>
    </w:p>
    <w:bookmarkEnd w:id="64"/>
    <w:bookmarkStart w:id="65" w:name="X8e359102c2820c99d0186213e314ed14f075d3d"/>
    <w:p>
      <w:pPr>
        <w:pStyle w:val="Heading4"/>
      </w:pPr>
      <w:r>
        <w:t xml:space="preserve">2.3.7.3 Việt Nam (n=3.077, 3 đợt khảo sát), cập nhật ADB Vietnam Outlook 2026</w:t>
      </w:r>
    </w:p>
    <w:p>
      <w:pPr>
        <w:pStyle w:val="FirstParagraph"/>
      </w:pPr>
      <w:r>
        <w:t xml:space="preserve">FSTS 23, 2% → 17, 9% → 16, 1% (suy giảm theo thời gian); doanh nghiệp xuất khẩu 37, 1% → 23, 8%; ISO 17–23%; R&amp;D 6, 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 2% (2026) / 7, 0% (2027)</w:t>
      </w:r>
      <w:r>
        <w:t xml:space="preserve">, vượt ASEAN 4, 6%. Bốn động lực: (a) cam kết FDI 2, 4 tỷ USD với 18 dự án chiến lược; (b) năng suất lao động +5, 1% trong giai đoạn 2026–2027; (c) khoản vay ADB dựa trên chính sách 2, 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 09% (2024), FDI 20, 17 tỷ USD (4, 23% GDP), xuất khẩu máy móc và điện tử 45, 8% tổng xuất khẩu, tỷ lệ nữ/nam lao động 88, 61% (2023).</w:t>
      </w:r>
    </w:p>
    <w:bookmarkEnd w:id="65"/>
    <w:bookmarkStart w:id="66" w:name="X277549c0c2e07611a176f54ee466361ef9e7c40"/>
    <w:p>
      <w:pPr>
        <w:pStyle w:val="Heading4"/>
      </w:pPr>
      <w:r>
        <w:t xml:space="preserve">2.3.7.4 Trung Quốc (n=4.889)</w:t>
      </w:r>
    </w:p>
    <w:p>
      <w:pPr>
        <w:pStyle w:val="FirstParagraph"/>
      </w:pPr>
      <w:r>
        <w:t xml:space="preserve">FSTS 10, 9% → 8, 8%; FDI ≥10% chiếm 6, 0%. Quan hệ FSTS – năng suất là hàm bậc ba với điểm uốn ~47, 8%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6"/>
    <w:bookmarkStart w:id="67" w:name="Xc7d3f6b1e6ee4affb591ecc35e1aebe189cfa40"/>
    <w:p>
      <w:pPr>
        <w:pStyle w:val="Heading4"/>
      </w:pPr>
      <w:r>
        <w:t xml:space="preserve">2.3.7.5 Tổng hợp Emerging Asia (n=42.278), trường hợp Ấn Độ</w:t>
      </w:r>
    </w:p>
    <w:p>
      <w:pPr>
        <w:pStyle w:val="FirstParagraph"/>
      </w:pPr>
      <w:r>
        <w:t xml:space="preserve">FSTS 7, 6%; FDI ≥10% chiếm 4, 4%; tỷ lệ doanh nghiệp R&amp;D dương 16%. Phân tán nội bộ lớn (độ lệch chuẩn log 2, 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 705 triệu USD (1990–2000) → 42, 396 triệu USD (2012–2022); R&amp;D trì trệ ở 0, 7% GDP.</w:t>
      </w:r>
    </w:p>
    <w:bookmarkEnd w:id="67"/>
    <w:bookmarkStart w:id="68" w:name="X0d446cb0e3ef6a6395393728a3b029a1d617ee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 2% → 3, 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 69 triệu tấn (2024) = 22, 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8"/>
    <w:bookmarkStart w:id="69" w:name="X75220166c82aebbb501943f77fee7b5d950597e"/>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 3%; FDI ≥10%</w:t>
      </w:r>
      <w:r>
        <w:t xml:space="preserve"> </w:t>
      </w:r>
      <w:r>
        <w:rPr>
          <w:bCs/>
          <w:b/>
        </w:rPr>
        <w:t xml:space="preserve">23, 5%</w:t>
      </w:r>
      <w:r>
        <w:t xml:space="preserve">; đổi mới sản phẩm</w:t>
      </w:r>
      <w:r>
        <w:t xml:space="preserve"> </w:t>
      </w:r>
      <w:r>
        <w:rPr>
          <w:bCs/>
          <w:b/>
        </w:rPr>
        <w:t xml:space="preserve">41, 5%</w:t>
      </w:r>
      <w:r>
        <w:t xml:space="preserve">; website</w:t>
      </w:r>
      <w:r>
        <w:t xml:space="preserve"> </w:t>
      </w:r>
      <w:r>
        <w:rPr>
          <w:bCs/>
          <w:b/>
        </w:rPr>
        <w:t xml:space="preserve">58, 9%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 03%, FDI 0, 7%, website 18, 7%, ISO 1, 3%, độ lệch chuẩn log 1, 48, SME 93, 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7, 1</w:t>
            </w:r>
          </w:p>
        </w:tc>
        <w:tc>
          <w:tcPr/>
          <w:p>
            <w:pPr>
              <w:pStyle w:val="Compact"/>
              <w:jc w:val="left"/>
            </w:pPr>
            <w:r>
              <w:t xml:space="preserve">19, 1</w:t>
            </w:r>
          </w:p>
        </w:tc>
        <w:tc>
          <w:tcPr/>
          <w:p>
            <w:pPr>
              <w:pStyle w:val="Compact"/>
              <w:jc w:val="left"/>
            </w:pPr>
            <w:r>
              <w:t xml:space="preserve">9, 9</w:t>
            </w:r>
          </w:p>
        </w:tc>
        <w:tc>
          <w:tcPr/>
          <w:p>
            <w:pPr>
              <w:pStyle w:val="Compact"/>
              <w:jc w:val="left"/>
            </w:pPr>
            <w:r>
              <w:t xml:space="preserve">7, 6</w:t>
            </w:r>
          </w:p>
        </w:tc>
        <w:tc>
          <w:tcPr/>
          <w:p>
            <w:pPr>
              <w:pStyle w:val="Compact"/>
              <w:jc w:val="left"/>
            </w:pPr>
            <w:r>
              <w:rPr>
                <w:bCs/>
                <w:b/>
              </w:rPr>
              <w:t xml:space="preserve">5, 0</w:t>
            </w:r>
          </w:p>
        </w:tc>
        <w:tc>
          <w:tcPr/>
          <w:p>
            <w:pPr>
              <w:pStyle w:val="Compact"/>
              <w:jc w:val="left"/>
            </w:pPr>
            <w:r>
              <w:t xml:space="preserve">6, 3</w:t>
            </w:r>
          </w:p>
        </w:tc>
        <w:tc>
          <w:tcPr/>
          <w:p>
            <w:pPr>
              <w:pStyle w:val="Compact"/>
              <w:jc w:val="left"/>
            </w:pPr>
            <w:r>
              <w:rPr>
                <w:bCs/>
                <w:b/>
              </w:rPr>
              <w:t xml:space="preserve">2, 4</w:t>
            </w:r>
          </w:p>
        </w:tc>
      </w:tr>
      <w:tr>
        <w:tc>
          <w:tcPr/>
          <w:p>
            <w:pPr>
              <w:pStyle w:val="Compact"/>
              <w:jc w:val="left"/>
            </w:pPr>
            <w:r>
              <w:t xml:space="preserve">FDI ≥10% (%)</w:t>
            </w:r>
          </w:p>
        </w:tc>
        <w:tc>
          <w:tcPr/>
          <w:p>
            <w:pPr>
              <w:pStyle w:val="Compact"/>
              <w:jc w:val="left"/>
            </w:pPr>
            <w:r>
              <w:rPr>
                <w:bCs/>
                <w:b/>
              </w:rPr>
              <w:t xml:space="preserve">31, 5</w:t>
            </w:r>
          </w:p>
        </w:tc>
        <w:tc>
          <w:tcPr/>
          <w:p>
            <w:pPr>
              <w:pStyle w:val="Compact"/>
              <w:jc w:val="left"/>
            </w:pPr>
            <w:r>
              <w:t xml:space="preserve">11, 4</w:t>
            </w:r>
          </w:p>
        </w:tc>
        <w:tc>
          <w:tcPr/>
          <w:p>
            <w:pPr>
              <w:pStyle w:val="Compact"/>
              <w:jc w:val="left"/>
            </w:pPr>
            <w:r>
              <w:t xml:space="preserve">6, 0</w:t>
            </w:r>
          </w:p>
        </w:tc>
        <w:tc>
          <w:tcPr/>
          <w:p>
            <w:pPr>
              <w:pStyle w:val="Compact"/>
              <w:jc w:val="left"/>
            </w:pPr>
            <w:r>
              <w:t xml:space="preserve">4, 4</w:t>
            </w:r>
          </w:p>
        </w:tc>
        <w:tc>
          <w:tcPr/>
          <w:p>
            <w:pPr>
              <w:pStyle w:val="Compact"/>
              <w:jc w:val="left"/>
            </w:pPr>
            <w:r>
              <w:rPr>
                <w:bCs/>
                <w:b/>
              </w:rPr>
              <w:t xml:space="preserve">4, 7</w:t>
            </w:r>
          </w:p>
        </w:tc>
        <w:tc>
          <w:tcPr/>
          <w:p>
            <w:pPr>
              <w:pStyle w:val="Compact"/>
              <w:jc w:val="left"/>
            </w:pPr>
            <w:r>
              <w:t xml:space="preserve">23, 5</w:t>
            </w:r>
          </w:p>
        </w:tc>
        <w:tc>
          <w:tcPr/>
          <w:p>
            <w:pPr>
              <w:pStyle w:val="Compact"/>
              <w:jc w:val="left"/>
            </w:pPr>
            <w:r>
              <w:rPr>
                <w:bCs/>
                <w:b/>
              </w:rPr>
              <w:t xml:space="preserve">11, 5</w:t>
            </w:r>
          </w:p>
        </w:tc>
      </w:tr>
      <w:tr>
        <w:tc>
          <w:tcPr/>
          <w:p>
            <w:pPr>
              <w:pStyle w:val="Compact"/>
              <w:jc w:val="left"/>
            </w:pPr>
            <w:r>
              <w:t xml:space="preserve">R&amp;D dương (%)</w:t>
            </w:r>
          </w:p>
        </w:tc>
        <w:tc>
          <w:tcPr/>
          <w:p>
            <w:pPr>
              <w:pStyle w:val="Compact"/>
              <w:jc w:val="left"/>
            </w:pPr>
            <w:r>
              <w:t xml:space="preserve">7, 5</w:t>
            </w:r>
          </w:p>
        </w:tc>
        <w:tc>
          <w:tcPr/>
          <w:p>
            <w:pPr>
              <w:pStyle w:val="Compact"/>
              <w:jc w:val="left"/>
            </w:pPr>
            <w:r>
              <w:rPr>
                <w:bCs/>
                <w:b/>
              </w:rPr>
              <w:t xml:space="preserve">3, 1</w:t>
            </w:r>
          </w:p>
        </w:tc>
        <w:tc>
          <w:tcPr/>
          <w:p>
            <w:pPr>
              <w:pStyle w:val="Compact"/>
              <w:jc w:val="left"/>
            </w:pPr>
            <w:r>
              <w:rPr>
                <w:bCs/>
                <w:b/>
              </w:rPr>
              <w:t xml:space="preserve">39, 4</w:t>
            </w:r>
          </w:p>
        </w:tc>
        <w:tc>
          <w:tcPr/>
          <w:p>
            <w:pPr>
              <w:pStyle w:val="Compact"/>
              <w:jc w:val="left"/>
            </w:pPr>
            <w:r>
              <w:t xml:space="preserve">16</w:t>
            </w:r>
          </w:p>
        </w:tc>
        <w:tc>
          <w:tcPr/>
          <w:p>
            <w:pPr>
              <w:pStyle w:val="Compact"/>
              <w:jc w:val="left"/>
            </w:pPr>
            <w:r>
              <w:rPr>
                <w:bCs/>
                <w:b/>
              </w:rPr>
              <w:t xml:space="preserve">20, 8</w:t>
            </w:r>
          </w:p>
        </w:tc>
        <w:tc>
          <w:tcPr/>
          <w:p>
            <w:pPr>
              <w:pStyle w:val="Compact"/>
              <w:jc w:val="left"/>
            </w:pPr>
            <w:r>
              <w:t xml:space="preserve">11, 8</w:t>
            </w:r>
          </w:p>
        </w:tc>
        <w:tc>
          <w:tcPr/>
          <w:p>
            <w:pPr>
              <w:pStyle w:val="Compact"/>
              <w:jc w:val="left"/>
            </w:pPr>
            <w:r>
              <w:rPr>
                <w:bCs/>
                <w:b/>
              </w:rPr>
              <w:t xml:space="preserve">3, 1</w:t>
            </w:r>
          </w:p>
        </w:tc>
      </w:tr>
      <w:tr>
        <w:tc>
          <w:tcPr/>
          <w:p>
            <w:pPr>
              <w:pStyle w:val="Compact"/>
              <w:jc w:val="left"/>
            </w:pPr>
            <w:r>
              <w:t xml:space="preserve">Website (%)</w:t>
            </w:r>
          </w:p>
        </w:tc>
        <w:tc>
          <w:tcPr/>
          <w:p>
            <w:pPr>
              <w:pStyle w:val="Compact"/>
              <w:jc w:val="left"/>
            </w:pPr>
            <w:r>
              <w:t xml:space="preserve">66, 1</w:t>
            </w:r>
          </w:p>
        </w:tc>
        <w:tc>
          <w:tcPr/>
          <w:p>
            <w:pPr>
              <w:pStyle w:val="Compact"/>
              <w:jc w:val="left"/>
            </w:pPr>
            <w:r>
              <w:rPr>
                <w:bCs/>
                <w:b/>
              </w:rPr>
              <w:t xml:space="preserve">47, 0</w:t>
            </w:r>
          </w:p>
        </w:tc>
        <w:tc>
          <w:tcPr/>
          <w:p>
            <w:pPr>
              <w:pStyle w:val="Compact"/>
              <w:jc w:val="left"/>
            </w:pPr>
            <w:r>
              <w:rPr>
                <w:bCs/>
                <w:b/>
              </w:rPr>
              <w:t xml:space="preserve">58, 7</w:t>
            </w:r>
          </w:p>
        </w:tc>
        <w:tc>
          <w:tcPr/>
          <w:p>
            <w:pPr>
              <w:pStyle w:val="Compact"/>
              <w:jc w:val="left"/>
            </w:pPr>
            <w:r>
              <w:rPr>
                <w:bCs/>
                <w:b/>
              </w:rPr>
              <w:t xml:space="preserve">48, 0</w:t>
            </w:r>
          </w:p>
        </w:tc>
        <w:tc>
          <w:tcPr/>
          <w:p>
            <w:pPr>
              <w:pStyle w:val="Compact"/>
              <w:jc w:val="left"/>
            </w:pPr>
            <w:r>
              <w:rPr>
                <w:bCs/>
                <w:b/>
              </w:rPr>
              <w:t xml:space="preserve">50, 1</w:t>
            </w:r>
          </w:p>
        </w:tc>
        <w:tc>
          <w:tcPr/>
          <w:p>
            <w:pPr>
              <w:pStyle w:val="Compact"/>
              <w:jc w:val="left"/>
            </w:pPr>
            <w:r>
              <w:t xml:space="preserve">58, 9</w:t>
            </w:r>
          </w:p>
        </w:tc>
        <w:tc>
          <w:tcPr/>
          <w:p>
            <w:pPr>
              <w:pStyle w:val="Compact"/>
              <w:jc w:val="left"/>
            </w:pPr>
            <w:r>
              <w:rPr>
                <w:bCs/>
                <w:b/>
              </w:rPr>
              <w:t xml:space="preserve">43, 6</w:t>
            </w:r>
          </w:p>
        </w:tc>
      </w:tr>
      <w:tr>
        <w:tc>
          <w:tcPr/>
          <w:p>
            <w:pPr>
              <w:pStyle w:val="Compact"/>
              <w:jc w:val="left"/>
            </w:pPr>
            <w:r>
              <w:t xml:space="preserve">sd log năng suất</w:t>
            </w:r>
          </w:p>
        </w:tc>
        <w:tc>
          <w:tcPr/>
          <w:p>
            <w:pPr>
              <w:pStyle w:val="Compact"/>
              <w:jc w:val="left"/>
            </w:pPr>
            <w:r>
              <w:t xml:space="preserve">1, 03</w:t>
            </w:r>
          </w:p>
        </w:tc>
        <w:tc>
          <w:tcPr/>
          <w:p>
            <w:pPr>
              <w:pStyle w:val="Compact"/>
              <w:jc w:val="left"/>
            </w:pPr>
            <w:r>
              <w:t xml:space="preserve">1, 38</w:t>
            </w:r>
          </w:p>
        </w:tc>
        <w:tc>
          <w:tcPr/>
          <w:p>
            <w:pPr>
              <w:pStyle w:val="Compact"/>
              <w:jc w:val="left"/>
            </w:pPr>
            <w:r>
              <w:t xml:space="preserve">1, 20</w:t>
            </w:r>
          </w:p>
        </w:tc>
        <w:tc>
          <w:tcPr/>
          <w:p>
            <w:pPr>
              <w:pStyle w:val="Compact"/>
              <w:jc w:val="left"/>
            </w:pPr>
            <w:r>
              <w:t xml:space="preserve">2, 18</w:t>
            </w:r>
          </w:p>
        </w:tc>
        <w:tc>
          <w:tcPr/>
          <w:p>
            <w:pPr>
              <w:pStyle w:val="Compact"/>
              <w:jc w:val="left"/>
            </w:pPr>
            <w:r>
              <w:rPr>
                <w:bCs/>
                <w:b/>
              </w:rPr>
              <w:t xml:space="preserve">1, 16</w:t>
            </w:r>
          </w:p>
        </w:tc>
        <w:tc>
          <w:tcPr/>
          <w:p>
            <w:pPr>
              <w:pStyle w:val="Compact"/>
              <w:jc w:val="left"/>
            </w:pPr>
            <w:r>
              <w:t xml:space="preserve">1, 32</w:t>
            </w:r>
          </w:p>
        </w:tc>
        <w:tc>
          <w:tcPr/>
          <w:p>
            <w:pPr>
              <w:pStyle w:val="Compact"/>
              <w:jc w:val="left"/>
            </w:pPr>
            <w:r>
              <w:rPr>
                <w:bCs/>
                <w:b/>
              </w:rPr>
              <w:t xml:space="preserve">0, 49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−0, 113</w:t>
            </w:r>
          </w:p>
        </w:tc>
        <w:tc>
          <w:tcPr/>
          <w:p>
            <w:pPr>
              <w:pStyle w:val="Compact"/>
              <w:jc w:val="left"/>
            </w:pPr>
            <w:r>
              <w:t xml:space="preserve">−0, 023</w:t>
            </w:r>
          </w:p>
        </w:tc>
        <w:tc>
          <w:tcPr/>
          <w:p>
            <w:pPr>
              <w:pStyle w:val="Compact"/>
              <w:jc w:val="left"/>
            </w:pPr>
            <w:r>
              <w:t xml:space="preserve">+0, 113</w:t>
            </w:r>
          </w:p>
        </w:tc>
        <w:tc>
          <w:tcPr/>
          <w:p>
            <w:pPr>
              <w:pStyle w:val="Compact"/>
              <w:jc w:val="left"/>
            </w:pPr>
            <w:r>
              <w:t xml:space="preserve">+0, 068</w:t>
            </w:r>
          </w:p>
        </w:tc>
        <w:tc>
          <w:tcPr/>
          <w:p>
            <w:pPr>
              <w:pStyle w:val="Compact"/>
              <w:jc w:val="left"/>
            </w:pPr>
            <w:r>
              <w:rPr>
                <w:bCs/>
                <w:b/>
              </w:rPr>
              <w:t xml:space="preserve">+0, 222</w:t>
            </w:r>
          </w:p>
        </w:tc>
      </w:tr>
      <w:tr>
        <w:tc>
          <w:tcPr/>
          <w:p>
            <w:pPr>
              <w:pStyle w:val="Compact"/>
              <w:jc w:val="left"/>
            </w:pPr>
            <w:r>
              <w:t xml:space="preserve">FSTS</w:t>
            </w:r>
          </w:p>
        </w:tc>
        <w:tc>
          <w:tcPr/>
          <w:p>
            <w:pPr>
              <w:pStyle w:val="Compact"/>
              <w:jc w:val="left"/>
            </w:pPr>
            <w:r>
              <w:rPr>
                <w:bCs/>
                <w:b/>
              </w:rPr>
              <w:t xml:space="preserve">+0, 113</w:t>
            </w:r>
          </w:p>
        </w:tc>
        <w:tc>
          <w:tcPr/>
          <w:p>
            <w:pPr>
              <w:pStyle w:val="Compact"/>
              <w:jc w:val="left"/>
            </w:pPr>
            <w:r>
              <w:t xml:space="preserve">−0, 086</w:t>
            </w:r>
          </w:p>
        </w:tc>
        <w:tc>
          <w:tcPr/>
          <w:p>
            <w:pPr>
              <w:pStyle w:val="Compact"/>
              <w:jc w:val="left"/>
            </w:pPr>
            <w:r>
              <w:t xml:space="preserve">+0, 062</w:t>
            </w:r>
          </w:p>
        </w:tc>
        <w:tc>
          <w:tcPr/>
          <w:p>
            <w:pPr>
              <w:pStyle w:val="Compact"/>
              <w:jc w:val="left"/>
            </w:pPr>
            <w:r>
              <w:t xml:space="preserve">+0, 014</w:t>
            </w:r>
          </w:p>
        </w:tc>
        <w:tc>
          <w:tcPr/>
          <w:p>
            <w:pPr>
              <w:pStyle w:val="Compact"/>
              <w:jc w:val="left"/>
            </w:pPr>
            <w:r>
              <w:t xml:space="preserve">−0, 050</w:t>
            </w:r>
          </w:p>
        </w:tc>
      </w:tr>
      <w:tr>
        <w:tc>
          <w:tcPr/>
          <w:p>
            <w:pPr>
              <w:pStyle w:val="Compact"/>
              <w:jc w:val="left"/>
            </w:pPr>
            <w:r>
              <w:t xml:space="preserve">TCI (R&amp;D + ISO)</w:t>
            </w:r>
          </w:p>
        </w:tc>
        <w:tc>
          <w:tcPr/>
          <w:p>
            <w:pPr>
              <w:pStyle w:val="Compact"/>
              <w:jc w:val="left"/>
            </w:pPr>
            <w:r>
              <w:rPr>
                <w:bCs/>
                <w:b/>
              </w:rPr>
              <w:t xml:space="preserve">+0, 128</w:t>
            </w:r>
          </w:p>
        </w:tc>
        <w:tc>
          <w:tcPr/>
          <w:p>
            <w:pPr>
              <w:pStyle w:val="Compact"/>
              <w:jc w:val="left"/>
            </w:pPr>
            <w:r>
              <w:t xml:space="preserve">+0, 016</w:t>
            </w:r>
          </w:p>
        </w:tc>
        <w:tc>
          <w:tcPr/>
          <w:p>
            <w:pPr>
              <w:pStyle w:val="Compact"/>
              <w:jc w:val="left"/>
            </w:pPr>
            <w:r>
              <w:t xml:space="preserve">−0, 029</w:t>
            </w:r>
          </w:p>
        </w:tc>
        <w:tc>
          <w:tcPr/>
          <w:p>
            <w:pPr>
              <w:pStyle w:val="Compact"/>
              <w:jc w:val="left"/>
            </w:pPr>
            <w:r>
              <w:t xml:space="preserve">+0, 019</w:t>
            </w:r>
          </w:p>
        </w:tc>
        <w:tc>
          <w:tcPr/>
          <w:p>
            <w:pPr>
              <w:pStyle w:val="Compact"/>
              <w:jc w:val="left"/>
            </w:pPr>
            <w:r>
              <w:rPr>
                <w:bCs/>
                <w:b/>
              </w:rPr>
              <w:t xml:space="preserve">+0, 155</w:t>
            </w:r>
          </w:p>
        </w:tc>
      </w:tr>
      <w:tr>
        <w:tc>
          <w:tcPr/>
          <w:p>
            <w:pPr>
              <w:pStyle w:val="Compact"/>
              <w:jc w:val="left"/>
            </w:pPr>
            <w:r>
              <w:t xml:space="preserve">DAI (website)</w:t>
            </w:r>
          </w:p>
        </w:tc>
        <w:tc>
          <w:tcPr/>
          <w:p>
            <w:pPr>
              <w:pStyle w:val="Compact"/>
              <w:jc w:val="left"/>
            </w:pPr>
            <w:r>
              <w:rPr>
                <w:bCs/>
                <w:b/>
              </w:rPr>
              <w:t xml:space="preserve">−0, 129</w:t>
            </w:r>
          </w:p>
        </w:tc>
        <w:tc>
          <w:tcPr/>
          <w:p>
            <w:pPr>
              <w:pStyle w:val="Compact"/>
              <w:jc w:val="left"/>
            </w:pPr>
            <w:r>
              <w:t xml:space="preserve">+0, 012</w:t>
            </w:r>
          </w:p>
        </w:tc>
        <w:tc>
          <w:tcPr/>
          <w:p>
            <w:pPr>
              <w:pStyle w:val="Compact"/>
              <w:jc w:val="left"/>
            </w:pPr>
            <w:r>
              <w:t xml:space="preserve">+0, 016</w:t>
            </w:r>
          </w:p>
        </w:tc>
        <w:tc>
          <w:tcPr/>
          <w:p>
            <w:pPr>
              <w:pStyle w:val="Compact"/>
              <w:jc w:val="left"/>
            </w:pPr>
            <w:r>
              <w:t xml:space="preserve">+0, 070</w:t>
            </w:r>
          </w:p>
        </w:tc>
        <w:tc>
          <w:tcPr/>
          <w:p>
            <w:pPr>
              <w:pStyle w:val="Compact"/>
              <w:jc w:val="left"/>
            </w:pPr>
            <w:r>
              <w:t xml:space="preserve">−0, 049</w:t>
            </w:r>
          </w:p>
        </w:tc>
      </w:tr>
    </w:tbl>
    <w:p>
      <w:pPr>
        <w:pStyle w:val="BodyText"/>
      </w:pPr>
      <w:r>
        <w:rPr>
          <w:iCs/>
          <w:i/>
        </w:rPr>
        <w:t xml:space="preserve">Ghi chú: Tất cả hệ số có p &lt; 0, 01 (kiểm định hai phía). Sai số chuẩn vững HC1.</w:t>
      </w:r>
    </w:p>
    <w:p>
      <w:pPr>
        <w:pStyle w:val="BodyText"/>
      </w:pPr>
      <w:r>
        <w:t xml:space="preserve">Sáu phát hiện chính: (1) FDI dương mạnh ở SIDS (+0, 222), FDI ngoại sinh là nguồn năng suất chủ đạo; (2) FDI âm tại Advanced (−0, 113), doanh nghiệp FDI không có lợi thế tại thị trường trưởng thành; (3) FSTS dương tại Advanced (+0, 113), xác nhận lý thuyết Uppsala; (4) TCI dương đồng đều SIDS và Advanced; (5) DAI âm tại Advanced (−0, 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72"/>
    <w:bookmarkStart w:id="73"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33, 4%</w:t>
            </w:r>
          </w:p>
        </w:tc>
        <w:tc>
          <w:tcPr/>
          <w:p>
            <w:pPr>
              <w:pStyle w:val="Compact"/>
              <w:jc w:val="left"/>
            </w:pPr>
            <w:r>
              <w:rPr>
                <w:bCs/>
                <w:b/>
              </w:rPr>
              <w:t xml:space="preserve">25, 7%</w:t>
            </w:r>
          </w:p>
        </w:tc>
        <w:tc>
          <w:tcPr/>
          <w:p>
            <w:pPr>
              <w:pStyle w:val="Compact"/>
              <w:jc w:val="left"/>
            </w:pPr>
            <w:r>
              <w:t xml:space="preserve">+7, 7 đpt</w:t>
            </w:r>
          </w:p>
        </w:tc>
      </w:tr>
      <w:tr>
        <w:tc>
          <w:tcPr/>
          <w:p>
            <w:pPr>
              <w:pStyle w:val="Compact"/>
              <w:jc w:val="left"/>
            </w:pPr>
            <w:r>
              <w:t xml:space="preserve">Latin America &amp; Caribbean</w:t>
            </w:r>
          </w:p>
        </w:tc>
        <w:tc>
          <w:tcPr/>
          <w:p>
            <w:pPr>
              <w:pStyle w:val="Compact"/>
              <w:jc w:val="left"/>
            </w:pPr>
            <w:r>
              <w:t xml:space="preserve">27, 8%</w:t>
            </w:r>
          </w:p>
        </w:tc>
        <w:tc>
          <w:tcPr/>
          <w:p>
            <w:pPr>
              <w:pStyle w:val="Compact"/>
              <w:jc w:val="left"/>
            </w:pPr>
            <w:r>
              <w:t xml:space="preserve">18, 3%</w:t>
            </w:r>
          </w:p>
        </w:tc>
        <w:tc>
          <w:tcPr/>
          <w:p>
            <w:pPr>
              <w:pStyle w:val="Compact"/>
              <w:jc w:val="left"/>
            </w:pPr>
            <w:r>
              <w:t xml:space="preserve">+9, 5 đpt</w:t>
            </w:r>
          </w:p>
        </w:tc>
      </w:tr>
      <w:tr>
        <w:tc>
          <w:tcPr/>
          <w:p>
            <w:pPr>
              <w:pStyle w:val="Compact"/>
              <w:jc w:val="left"/>
            </w:pPr>
            <w:r>
              <w:t xml:space="preserve">Sub-Saharan Africa</w:t>
            </w:r>
          </w:p>
        </w:tc>
        <w:tc>
          <w:tcPr/>
          <w:p>
            <w:pPr>
              <w:pStyle w:val="Compact"/>
              <w:jc w:val="left"/>
            </w:pPr>
            <w:r>
              <w:t xml:space="preserve">21, 3%</w:t>
            </w:r>
          </w:p>
        </w:tc>
        <w:tc>
          <w:tcPr/>
          <w:p>
            <w:pPr>
              <w:pStyle w:val="Compact"/>
              <w:jc w:val="left"/>
            </w:pPr>
            <w:r>
              <w:t xml:space="preserve">14, 9%</w:t>
            </w:r>
          </w:p>
        </w:tc>
        <w:tc>
          <w:tcPr/>
          <w:p>
            <w:pPr>
              <w:pStyle w:val="Compact"/>
              <w:jc w:val="left"/>
            </w:pPr>
            <w:r>
              <w:t xml:space="preserve">+6, 4 đpt</w:t>
            </w:r>
          </w:p>
        </w:tc>
      </w:tr>
      <w:tr>
        <w:tc>
          <w:tcPr/>
          <w:p>
            <w:pPr>
              <w:pStyle w:val="Compact"/>
              <w:jc w:val="left"/>
            </w:pPr>
            <w:r>
              <w:t xml:space="preserve">Europe &amp; Central Asia</w:t>
            </w:r>
          </w:p>
        </w:tc>
        <w:tc>
          <w:tcPr/>
          <w:p>
            <w:pPr>
              <w:pStyle w:val="Compact"/>
              <w:jc w:val="left"/>
            </w:pPr>
            <w:r>
              <w:t xml:space="preserve">19, 8%</w:t>
            </w:r>
          </w:p>
        </w:tc>
        <w:tc>
          <w:tcPr/>
          <w:p>
            <w:pPr>
              <w:pStyle w:val="Compact"/>
              <w:jc w:val="left"/>
            </w:pPr>
            <w:r>
              <w:t xml:space="preserve">12, 1%</w:t>
            </w:r>
          </w:p>
        </w:tc>
        <w:tc>
          <w:tcPr/>
          <w:p>
            <w:pPr>
              <w:pStyle w:val="Compact"/>
              <w:jc w:val="left"/>
            </w:pPr>
            <w:r>
              <w:t xml:space="preserve">+7, 7 đpt</w:t>
            </w:r>
          </w:p>
        </w:tc>
      </w:tr>
      <w:tr>
        <w:tc>
          <w:tcPr/>
          <w:p>
            <w:pPr>
              <w:pStyle w:val="Compact"/>
              <w:jc w:val="left"/>
            </w:pPr>
            <w:r>
              <w:t xml:space="preserve">South Asia</w:t>
            </w:r>
          </w:p>
        </w:tc>
        <w:tc>
          <w:tcPr/>
          <w:p>
            <w:pPr>
              <w:pStyle w:val="Compact"/>
              <w:jc w:val="left"/>
            </w:pPr>
            <w:r>
              <w:t xml:space="preserve">9, 2%</w:t>
            </w:r>
          </w:p>
        </w:tc>
        <w:tc>
          <w:tcPr/>
          <w:p>
            <w:pPr>
              <w:pStyle w:val="Compact"/>
              <w:jc w:val="left"/>
            </w:pPr>
            <w:r>
              <w:t xml:space="preserve">8, 5%</w:t>
            </w:r>
          </w:p>
        </w:tc>
        <w:tc>
          <w:tcPr/>
          <w:p>
            <w:pPr>
              <w:pStyle w:val="Compact"/>
              <w:jc w:val="left"/>
            </w:pPr>
            <w:r>
              <w:t xml:space="preserve">+0, 7 đpt</w:t>
            </w:r>
          </w:p>
        </w:tc>
      </w:tr>
      <w:tr>
        <w:tc>
          <w:tcPr/>
          <w:p>
            <w:pPr>
              <w:pStyle w:val="Compact"/>
              <w:jc w:val="left"/>
            </w:pPr>
            <w:r>
              <w:rPr>
                <w:bCs/>
                <w:b/>
              </w:rPr>
              <w:t xml:space="preserve">MENA</w:t>
            </w:r>
          </w:p>
        </w:tc>
        <w:tc>
          <w:tcPr/>
          <w:p>
            <w:pPr>
              <w:pStyle w:val="Compact"/>
              <w:jc w:val="left"/>
            </w:pPr>
            <w:r>
              <w:rPr>
                <w:bCs/>
                <w:b/>
              </w:rPr>
              <w:t xml:space="preserve">3, 3%</w:t>
            </w:r>
          </w:p>
        </w:tc>
        <w:tc>
          <w:tcPr/>
          <w:p>
            <w:pPr>
              <w:pStyle w:val="Compact"/>
              <w:jc w:val="left"/>
            </w:pPr>
            <w:r>
              <w:rPr>
                <w:bCs/>
                <w:b/>
              </w:rPr>
              <w:t xml:space="preserve">1, 7%</w:t>
            </w:r>
          </w:p>
        </w:tc>
        <w:tc>
          <w:tcPr/>
          <w:p>
            <w:pPr>
              <w:pStyle w:val="Compact"/>
              <w:jc w:val="left"/>
            </w:pPr>
            <w:r>
              <w:t xml:space="preserve">+1, 6 đpt</w:t>
            </w:r>
          </w:p>
        </w:tc>
      </w:tr>
    </w:tbl>
    <w:p>
      <w:pPr>
        <w:pStyle w:val="BodyText"/>
      </w:pPr>
      <w:r>
        <w:t xml:space="preserve">Bốn quan sát: (a) EAP paradox, quản lý dẫn đầu toàn cầu nhưng ownership ceiling thấp hơn management ceiling 7, 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3"/>
    <w:bookmarkStart w:id="74"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 129 tại Advanced,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 4% (Tier-2 mature); FSTS²×DAI = +3, 119 (p = 0, 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 86 → Upper-middle 1, 29 ≈ Emerging 1, 24 ≈ SIDS 1, 32 → Frontier 1, 36. Tỷ số P90/P10 leo từ 10, 8 lần lên 39, 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 03) so với Vùng Vịnh (0, 49) ≈</w:t>
      </w:r>
      <w:r>
        <w:t xml:space="preserve"> </w:t>
      </w:r>
      <w:r>
        <w:rPr>
          <w:bCs/>
          <w:b/>
        </w:rPr>
        <w:t xml:space="preserve">2, 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 2%) ≠ dân số lớn (IND+LKA+JOR, FSTS 7, 2%) ≠ tài nguyên (MNG, FSTS 5, 0%).</w:t>
      </w:r>
    </w:p>
    <w:p>
      <w:pPr>
        <w:pStyle w:val="BodyText"/>
      </w:pPr>
      <w:r>
        <w:rPr>
          <w:bCs/>
          <w:b/>
        </w:rPr>
        <w:t xml:space="preserve">(iv) SIDS Pacific, Kiribati 2025 là trường hợp biên cực đoan nhất</w:t>
      </w:r>
      <w:r>
        <w:t xml:space="preserve">: FSTS 1, 03%, FDI 0, 7%, website 18, 7%, ISO 1, 3%, đối lập với Fiji nhảy vọt số (74, 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 129) là tạo phẩm bão hòa Tier-1, xem kiểm định loại trừ ICT tại §2.3.4.3.</w:t>
      </w:r>
    </w:p>
    <w:p>
      <w:pPr>
        <w:pStyle w:val="BodyText"/>
      </w:pPr>
      <w:r>
        <w:rPr>
          <w:bCs/>
          <w:b/>
        </w:rPr>
        <w:t xml:space="preserve">(vii) Pattern phi tuyến FDI ≥10%</w:t>
      </w:r>
      <w:r>
        <w:t xml:space="preserve">, dạng chữ U với cực tiểu Emerging (4, 7%): Advanced 11, 1% → Emerging 4, 7% → SIDS 23, 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 8% &gt; Singapore 66, 1%; Kiribati đối lập cực đoan với Fiji; Nepal Micro: 10% bán quốc tế, sd log LP = 1, 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 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 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 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 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 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 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 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 2% → 16, 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 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 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2026-06-08T08:35:31Z</dcterms:created>
  <dcterms:modified xsi:type="dcterms:W3CDTF">2026-06-08T08:35:31Z</dcterms:modified>
</cp:coreProperties>
</file>

<file path=docProps/custom.xml><?xml version="1.0" encoding="utf-8"?>
<Properties xmlns="http://schemas.openxmlformats.org/officeDocument/2006/custom-properties" xmlns:vt="http://schemas.openxmlformats.org/officeDocument/2006/docPropsVTypes"/>
</file>