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0"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29"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P1–P8)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r>
        <w:t xml:space="preserve"> </w:t>
      </w:r>
      <w:r>
        <w:rPr>
          <w:iCs/>
          <w:i/>
        </w:rPr>
        <w:t xml:space="preserve">(Cơ sở baseline meta-analysis — P1/P2.)</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pStyle w:val="FirstParagraph"/>
      </w:pPr>
      <w:r>
        <w:rPr>
          <w:iCs/>
          <w:i/>
        </w:rPr>
        <w:t xml:space="preserve">Ghi chú về liêm chính học thuật: Theo định hướng luận án kết hợp công trình thành phần, các nghiên cứu P1–P8 là một phần nội dung nghiên cứu của chính luận án; do đó trong các chương, chúng được dẫn chiếu bằng nhãn nội bộ (P1–P8)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2026-06-08T08:35:02Z</dcterms:created>
  <dcterms:modified xsi:type="dcterms:W3CDTF">2026-06-08T08:35:02Z</dcterms:modified>
</cp:coreProperties>
</file>

<file path=docProps/custom.xml><?xml version="1.0" encoding="utf-8"?>
<Properties xmlns="http://schemas.openxmlformats.org/officeDocument/2006/custom-properties" xmlns:vt="http://schemas.openxmlformats.org/officeDocument/2006/docPropsVTypes"/>
</file>