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(Δ 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Tầng 2 nhưng không đo Tầng 3/4. Chuyên đề chỉ phát biểu về phần bù Tầng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Tầng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Bức tranh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(innovation-driven so với resource-driven),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Tầng 1 (website nhị phân, tiệm cận bão hòa ở Advanced) và Tầng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Tầng 1 và Tầng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Tầng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Tầng 1–2, không Tầng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(Tier 1 = website only) sang</w:t>
      </w:r>
      <w:r>
        <w:t xml:space="preserve"> </w:t>
      </w:r>
      <w:r>
        <w:rPr>
          <w:bCs/>
          <w:b/>
        </w:rPr>
        <w:t xml:space="preserve">phụ thuộc giai đoạn</w:t>
      </w:r>
      <w:r>
        <w:t xml:space="preserve">: tương tác DAI×FSTS âm ở FSTS cao, Tầng 1 trở thành điểm nghẽn. Singapore (Tier 1+2) sang</w:t>
      </w:r>
      <w:r>
        <w:t xml:space="preserve"> </w:t>
      </w:r>
      <w:r>
        <w:rPr>
          <w:bCs/>
          <w:b/>
        </w:rPr>
        <w:t xml:space="preserve">mở rộng có điều kiện</w:t>
      </w:r>
      <w:r>
        <w:t xml:space="preserve">: tương tác DAI×FSTS² dương mạnh (β=3,119, p=0,005), Tầng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β=1,639, p&lt;0,001,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JABS,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dbf03bfe856aa219791dbd3c40b9a33c42291cb"/>
    <w:p>
      <w:pPr>
        <w:pStyle w:val="Heading4"/>
      </w:pPr>
      <w:r>
        <w:t xml:space="preserve">2.3.4.3 Tái định hình Chỉ số áp dụng số: Tầng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Tier-1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Δ Website</w:t>
            </w:r>
          </w:p>
        </w:tc>
        <w:tc>
          <w:tcPr/>
          <w:p>
            <w:pPr>
              <w:pStyle w:val="Compact"/>
              <w:jc w:val="right"/>
            </w:pPr>
            <w:r>
              <w:t xml:space="preserve">Δ DN xuất khẩu</w:t>
            </w:r>
          </w:p>
        </w:tc>
        <w:tc>
          <w:tcPr/>
          <w:p>
            <w:pPr>
              <w:pStyle w:val="Compact"/>
              <w:jc w:val="right"/>
            </w:pPr>
            <w:r>
              <w:t xml:space="preserve">Δ FDI ≥10%</w:t>
            </w:r>
          </w:p>
        </w:tc>
        <w:tc>
          <w:tcPr/>
          <w:p>
            <w:pPr>
              <w:pStyle w:val="Compact"/>
              <w:jc w:val="right"/>
            </w:pPr>
            <w:r>
              <w:t xml:space="preserve">Δ R&amp;D</w:t>
            </w:r>
          </w:p>
        </w:tc>
        <w:tc>
          <w:tcPr/>
          <w:p>
            <w:pPr>
              <w:pStyle w:val="Compact"/>
              <w:jc w:val="right"/>
            </w:pPr>
            <w:r>
              <w:t xml:space="preserve">Δ 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 ≥10%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Tầng 3–4, vượt xa lớp DAI Tầng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 ≥ 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Tầng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Tầng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Tier-1 Sự hiện diện số cơ bản</w:t>
      </w:r>
      <w:r>
        <w:t xml:space="preserve"> </w:t>
      </w:r>
      <w:r>
        <w:t xml:space="preserve">(tiệm cận bão hòa ở Advanced) và</w:t>
      </w:r>
      <w:r>
        <w:t xml:space="preserve"> </w:t>
      </w:r>
      <w:r>
        <w:rPr>
          <w:bCs/>
          <w:b/>
        </w:rPr>
        <w:t xml:space="preserve">Tier-2 Chuyển đổi số cơ bản</w:t>
      </w:r>
      <w:r>
        <w:t xml:space="preserve"> </w:t>
      </w:r>
      <w:r>
        <w:t xml:space="preserve">(đang phát triển). Phần bù tương quan DAI thấp nhất ở Nhóm I (+0,093) là dấu hiệu bão hòa Tầng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Tầng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Tầng 1 là yếu tố vệ sinh bão hòa. Tại Emerging, DAI Tầng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Tầng 1 trong bối cảnh Tầng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Tầng 1.5/Tầng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(đang phản biện).</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(đang phản biện).</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111"/>
    <w:bookmarkEnd w:id="11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2026-06-23T11:24:46Z</dcterms:created>
  <dcterms:modified xsi:type="dcterms:W3CDTF">2026-06-23T11:24:46Z</dcterms:modified>
</cp:coreProperties>
</file>

<file path=docProps/custom.xml><?xml version="1.0" encoding="utf-8"?>
<Properties xmlns="http://schemas.openxmlformats.org/officeDocument/2006/custom-properties" xmlns:vt="http://schemas.openxmlformats.org/officeDocument/2006/docPropsVTypes"/>
</file>