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5-kết-luận-và-đề-xuất"/>
    <w:p>
      <w:pPr>
        <w:pStyle w:val="Heading1"/>
      </w:pPr>
      <w:r>
        <w:t xml:space="preserve">CHƯƠNG 5: KẾT LUẬN VÀ ĐỀ XUẤT</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1"/>
    <w:bookmarkStart w:id="30" w:name="Xff8cef3ed320f9cf6f3fba4ff558bfed3af19c6"/>
    <w:p>
      <w:pPr>
        <w:pStyle w:val="Heading2"/>
      </w:pPr>
      <w:r>
        <w:t xml:space="preserve">5.1 Bàn luận kết quả theo khung lý thuyết CDCM</w:t>
      </w:r>
    </w:p>
    <w:bookmarkStart w:id="22" w:name="X59bbe86bb1d3da1717dec30924f73547ba9a500"/>
    <w:p>
      <w:pPr>
        <w:pStyle w:val="Heading3"/>
      </w:pPr>
      <w:r>
        <w:t xml:space="preserve">5.1.1 Phổ ICRV: Xác nhận một phần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phổ thể chế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phổ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w:t>
      </w:r>
      <w:r>
        <w:t xml:space="preserve"> </w:t>
      </w:r>
      <w:r>
        <w:rPr>
          <w:bCs/>
          <w:b/>
        </w:rPr>
        <w:t xml:space="preserve">một phần</w:t>
      </w:r>
      <w:r>
        <w:t xml:space="preserve"> </w:t>
      </w:r>
      <w:r>
        <w:t xml:space="preserve">H5 và tầng thể chế của khung lý thuyết CDCM. Phần</w:t>
      </w:r>
      <w:r>
        <w:t xml:space="preserve"> </w:t>
      </w:r>
      <w:r>
        <w:rPr>
          <w:bCs/>
          <w:b/>
        </w:rPr>
        <w:t xml:space="preserve">lõi</w:t>
      </w:r>
      <w:r>
        <w:t xml:space="preserve"> </w:t>
      </w:r>
      <w:r>
        <w:t xml:space="preserve">của H5 được xác nhận vững từ hai nguồn độc lập: chế độ thể chế quyết định không chỉ một biến điều tiết đơn lẻ mà là</w:t>
      </w:r>
      <w:r>
        <w:t xml:space="preserve"> </w:t>
      </w:r>
      <w:r>
        <w:rPr>
          <w:bCs/>
          <w:b/>
        </w:rPr>
        <w:t xml:space="preserve">cả một chế độ thể chế</w:t>
      </w:r>
      <w:r>
        <w:t xml:space="preserve"> </w:t>
      </w:r>
      <w:r>
        <w:t xml:space="preserve">chi phối sự tồn tại và vị trí của dạng hàm chữ U ngược (kiểm định tổng thể</w:t>
      </w:r>
      <w:r>
        <w:t xml:space="preserve"> </w:t>
      </w:r>
      <m:oMath>
        <m:sSub>
          <m:e>
            <m:r>
              <m:t>Q</m:t>
            </m:r>
          </m:e>
          <m:sub>
            <m:r>
              <m:t>M</m:t>
            </m:r>
          </m:sub>
        </m:sSub>
        <m:r>
          <m:rPr>
            <m:sty m:val="p"/>
          </m:rPr>
          <m:t>=</m:t>
        </m:r>
        <m:r>
          <m:t>17</m:t>
        </m:r>
        <m:r>
          <m:rPr>
            <m:sty m:val="p"/>
          </m:rPr>
          <m:t>,</m:t>
        </m:r>
        <m:r>
          <m:t>35</m:t>
        </m:r>
      </m:oMath>
      <w:r>
        <w:t xml:space="preserve"> </w:t>
      </w:r>
      <w:r>
        <w:t xml:space="preserve">của P6; phổ điểm uốn theo ICRV của P7). Tuy nhiên,</w:t>
      </w:r>
      <w:r>
        <w:t xml:space="preserve"> </w:t>
      </w:r>
      <w:r>
        <w:rPr>
          <w:bCs/>
          <w:b/>
        </w:rPr>
        <w:t xml:space="preserve">định hướng phổ thể chế đơn điệu</w:t>
      </w:r>
      <w:r>
        <w:t xml:space="preserve"> </w:t>
      </w:r>
      <w:r>
        <w:t xml:space="preserve">như H5 phát biểu (tác động mạnh nhất ở nhóm thể chế yếu, giảm dần đến nhóm tiên tiến — vận hành hóa thành mệnh đề thăm dò E1a/E1b)</w:t>
      </w:r>
      <w:r>
        <w:t xml:space="preserve"> </w:t>
      </w:r>
      <w:r>
        <w:rPr>
          <w:bCs/>
          <w:b/>
        </w:rPr>
        <w:t xml:space="preserve">chưa được xác nhận</w:t>
      </w:r>
      <w:r>
        <w:t xml:space="preserve">: ở P6, ý nghĩa của</w:t>
      </w:r>
      <w:r>
        <w:t xml:space="preserve"> </w:t>
      </w:r>
      <m:oMath>
        <m:sSub>
          <m:e>
            <m:r>
              <m:t>Q</m:t>
            </m:r>
          </m:e>
          <m:sub>
            <m:r>
              <m:t>M</m:t>
            </m:r>
          </m:sub>
        </m:sSub>
      </m:oMath>
      <w:r>
        <w:t xml:space="preserve"> </w:t>
      </w:r>
      <w:r>
        <w:t xml:space="preserve">bị chi phối bởi nhóm Frontier</w:t>
      </w:r>
      <w:r>
        <w:t xml:space="preserve"> </w:t>
      </w:r>
      <m:oMath>
        <m:r>
          <m:t>k</m:t>
        </m:r>
        <m:r>
          <m:rPr>
            <m:sty m:val="p"/>
          </m:rPr>
          <m:t>=</m:t>
        </m:r>
        <m:r>
          <m:t>3</m:t>
        </m:r>
      </m:oMath>
      <w:r>
        <w:t xml:space="preserve"> </w:t>
      </w:r>
      <w:r>
        <w:t xml:space="preserve">(một nghiên cứu ngoại lai chi phối), còn các tương phản giữa các nhóm đông quan sát (I, II, III, MX) đều không có ý nghĩa; ở P7, gradient thực nghiệm mang dạng</w:t>
      </w:r>
      <w:r>
        <w:t xml:space="preserve"> </w:t>
      </w:r>
      <w:r>
        <w:rPr>
          <w:bCs/>
          <w:b/>
        </w:rPr>
        <w:t xml:space="preserve">ba vùng phi đơn điệu</w:t>
      </w:r>
      <w:r>
        <w:t xml:space="preserve"> </w:t>
      </w:r>
      <w:r>
        <w:t xml:space="preserve">(chữ U ngược sắc nét ở vùng giữa, duỗi thẳng ở biên trên, mất cấu trúc ở biên dưới) chứ không phải một dốc đơn điệu. Nói cách khác, bằng chứng xác nhận rằng thể chế</w:t>
      </w:r>
      <w:r>
        <w:t xml:space="preserve"> </w:t>
      </w:r>
      <w:r>
        <w:rPr>
          <w:iCs/>
          <w:i/>
        </w:rPr>
        <w:t xml:space="preserve">định hình</w:t>
      </w:r>
      <w:r>
        <w:t xml:space="preserve"> </w:t>
      </w:r>
      <w:r>
        <w:t xml:space="preserve">dạng quan hệ, nhưng</w:t>
      </w:r>
      <w:r>
        <w:t xml:space="preserve"> </w:t>
      </w:r>
      <w:r>
        <w:rPr>
          <w:iCs/>
          <w:i/>
        </w:rPr>
        <w:t xml:space="preserve">chiều</w:t>
      </w:r>
      <w:r>
        <w:t xml:space="preserve"> </w:t>
      </w:r>
      <w:r>
        <w:t xml:space="preserve">của phổ thể chế phong phú hơn giả thuyết đơn điệu ban đầu — một tinh chỉnh lý thuyết hơn là một bác bỏ. lý thuyết thể chế của North (1990) và Khanna và Palepu (2010) dự đoán rằng thể chế định hình chi phí giao dịch và cấu trúc khuyến khích; kết quả ICRV phổ thể chế là biểu hiện thực nghiệm của cơ chế này ở quy mô 50 nền kinh tế châu Á và Thái Bình Dương (P7).</w:t>
      </w:r>
    </w:p>
    <w:p>
      <w:pPr>
        <w:pStyle w:val="BodyText"/>
      </w:pPr>
      <w:r>
        <w:t xml:space="preserve">Về mặt lý thuyết, phổ thể chế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phổ thể chế: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2"/>
    <w:bookmarkStart w:id="23" w:name="X09a4922d1c0cba8acfc2d36ce447b46819a36c1"/>
    <w:p>
      <w:pPr>
        <w:pStyle w:val="Heading3"/>
      </w:pPr>
      <w:r>
        <w:t xml:space="preserve">5.1.2 TCI là Năng Lực Nền Tảng: Xác nhận một phần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3"/>
    <w:bookmarkStart w:id="24"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Tầng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Tầng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Tầng 1 DAI (website, email, online sales) chưa nắm bắt được chiều sâu của năng lực số. Khi DAI được đo bằng Tầng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4"/>
    <w:bookmarkStart w:id="25"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25"/>
    <w:bookmarkStart w:id="26"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của P8; cần đọc cùng giới hạn dữ liệu ở Mục 4.7.8, theo đó kết quả mang tính thăm dò và nhạy cảm với phiên bản dữ liệu)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hoạt động kinh doanh của doanh nghiệp.</w:t>
      </w:r>
    </w:p>
    <w:p>
      <w:pPr>
        <w:pStyle w:val="BodyText"/>
      </w:pPr>
      <w:r>
        <w:t xml:space="preserve">Phát hiện vững trên mẫu đầy đủ bảy nền đảo nhỏ Thái Bình Dương (</w:t>
      </w:r>
      <m:oMath>
        <m:r>
          <m:t>N</m:t>
        </m:r>
        <m:r>
          <m:rPr>
            <m:sty m:val="p"/>
          </m:rPr>
          <m:t>=</m:t>
        </m:r>
        <m:r>
          <m:t>1.450</m:t>
        </m:r>
      </m:oMath>
      <w:r>
        <w:t xml:space="preserve">) là</w:t>
      </w:r>
      <w:r>
        <w:t xml:space="preserve"> </w:t>
      </w:r>
      <w:r>
        <w:rPr>
          <w:bCs/>
          <w:b/>
        </w:rPr>
        <w:t xml:space="preserve">việc dạng chữ U ngược mất cấu trúc</w:t>
      </w:r>
      <w:r>
        <w:t xml:space="preserve"> </w:t>
      </w:r>
      <w:r>
        <w:t xml:space="preserve">(độ dốc không có ý nghĩa và độ cong chỉ đạt mức biên), tương phản sắc nét với chữ U ngược của lục địa; FIP được hiểu như</w:t>
      </w:r>
      <w:r>
        <w:t xml:space="preserve"> </w:t>
      </w:r>
      <w:r>
        <w:rPr>
          <w:bCs/>
          <w:b/>
        </w:rPr>
        <w:t xml:space="preserve">trường hợp giới hạn lý thuyết</w:t>
      </w:r>
      <w:r>
        <w:t xml:space="preserve"> </w:t>
      </w:r>
      <w:r>
        <w:t xml:space="preserve">của sự mất cấu trúc này, tức chiều hướng mà quan hệ nghiêng về khi quốc tế hóa cưỡng bức chi phối hoàn toàn, chứ không phải một quan hệ âm đơn điệu đã được ước lượng vững. Dù theo hướng giới hạn hay theo bằng chứng mất cấu trúc, hàm ý chung là không có mức FSTS nào mà doanh nghiệp SIDS có thể tận dụng để cải thiện hiệu quả thông qua xuất khẩu trong điều kiện hiện tại. Đây là ranh giới biên lý thuyết quan trọng cho các mô hình phi tuyến phổ quát trong tài liệu về quan hệ quốc tế hóa và hiệu quả.</w:t>
      </w:r>
    </w:p>
    <w:p>
      <w:r>
        <w:pict>
          <v:rect style="width:0;height:1.5pt" o:hralign="center" o:hrstd="t" o:hr="t"/>
        </w:pict>
      </w:r>
    </w:p>
    <w:bookmarkEnd w:id="26"/>
    <w:bookmarkStart w:id="27"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Tầng 2 thay thế Tầng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pPr>
        <w:pStyle w:val="BodyText"/>
      </w:pPr>
      <w:r>
        <w:t xml:space="preserve">Đặt trường hợp Ấn Độ cạnh hai bối cảnh chuyển đổi khác làm rõ kết luận về</w:t>
      </w:r>
      <w:r>
        <w:t xml:space="preserve"> </w:t>
      </w:r>
      <w:r>
        <w:rPr>
          <w:bCs/>
          <w:b/>
        </w:rPr>
        <w:t xml:space="preserve">dị biệt thời gian (H6)</w:t>
      </w:r>
      <w:r>
        <w:t xml:space="preserve">, vốn được kiểm định trực tiếp ở P5 và P3: tại Trung Quốc, điểm uốn ổn định giữa hai đợt 2012–2024 (kiểm định Paternoster không bác bỏ tính bằng nhau,</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trong khi tại Việt Nam điểm uốn dịch chuyển có ý nghĩa giữa 2009 và 2015. H6 do đó</w:t>
      </w:r>
      <w:r>
        <w:t xml:space="preserve"> </w:t>
      </w:r>
      <w:r>
        <w:rPr>
          <w:bCs/>
          <w:b/>
        </w:rPr>
        <w:t xml:space="preserve">không được xác nhận như một xu hướng thời gian đơn điệu</w:t>
      </w:r>
      <w:r>
        <w:t xml:space="preserve">, mà được tinh chỉnh thành một mệnh đề có điều kiện: dạng hàm quốc tế hóa–hiệu quả chỉ dịch chuyển (Việt Nam) hoặc mất cấu trúc (Ấn Độ 2025) khi tốc độ và biên độ thay đổi thể chế đủ lớn, còn giữ ổn định khi thể chế trưởng thành có trật tự (Trung Quốc) — nhất quán với cách đọc rằng thời gian tự nó không phải biến điều tiết, mà là vận tốc biến động thể chế tích lũy.</w:t>
      </w:r>
    </w:p>
    <w:p>
      <w:r>
        <w:pict>
          <v:rect style="width:0;height:1.5pt" o:hralign="center" o:hrstd="t" o:hr="t"/>
        </w:pict>
      </w:r>
    </w:p>
    <w:bookmarkEnd w:id="27"/>
    <w:bookmarkStart w:id="28" w:name="Xa3158dd5136100cab093ef0569110b9c1bb5fc2"/>
    <w:p>
      <w:pPr>
        <w:pStyle w:val="Heading3"/>
      </w:pPr>
      <w:r>
        <w:t xml:space="preserve">5.1.7 Tích hợp ba vùng của phổ thể chế: từ chữ U ngược đến mất cấu trúc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phổ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phổ thể chế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đặc tả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phổ thể chế (chế độ đang nổi và đảo nhỏ, Nhóm V và VI), quan hệ mất cấu trúc theo hai mức độ khác nhau. Tại Nhóm V, các hệ số không còn ý nghĩa thống kê và dạng hàm mất cấu trúc (P7). Tại Nhóm VI là các nền kinh tế đảo nhỏ, phát hiện vững là dạng chữ U ngược</w:t>
      </w:r>
      <w:r>
        <w:t xml:space="preserve"> </w:t>
      </w:r>
      <w:r>
        <w:rPr>
          <w:bCs/>
          <w:b/>
        </w:rPr>
        <w:t xml:space="preserve">mất cấu trúc</w:t>
      </w:r>
      <w:r>
        <w:t xml:space="preserve"> </w:t>
      </w:r>
      <w:r>
        <w:t xml:space="preserve">(độ dốc không có ý nghĩa và độ cong chỉ đạt mức biên trên mẫu đầy đủ bảy nền Thái Bình Dương), với quan hệ nghiêng về một dạng âm đơn điệu như trường hợp giới hạn lý thuyết, gánh nặng quốc tế hóa bắt buộc (hệ số −1,339 chỉ xuất hiện trên một bản dựng dữ liệu hạn chế ba cụm, mang tính minh họa và nhạy cảm với phiên bản dữ liệu, xem Mục 4.7.8).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phổ thể chế. Bằng chứng Việt Nam (P3) cho thấy độ cong toàn mẫu trong chế độ chuyển đổi được nhận diện chủ yếu qua biên tham gia, tức bước nhảy năng suất khi doanh nghiệp chuyển từ không xuất khẩu sang xuất khẩu (biên tham gia), chứ không qua độ cong cường độ trong nhóm doanh nghiệp đã xuất khẩu (biên cường độ);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8"/>
    <w:bookmarkStart w:id="29" w:name="X08dece717898d5afcbb01edbe9ac6531a983c78"/>
    <w:p>
      <w:pPr>
        <w:pStyle w:val="Heading3"/>
      </w:pPr>
      <w:r>
        <w:t xml:space="preserve">5.1.8 Sợi chỉ vàng: truy vết tích hợp từ câu hỏi nghiên cứu đến đóng góp lý thuyết</w:t>
      </w:r>
    </w:p>
    <w:p>
      <w:pPr>
        <w:pStyle w:val="FirstParagraph"/>
      </w:pPr>
      <w:r>
        <w:t xml:space="preserve">Để làm rõ rằng luận án là</w:t>
      </w:r>
      <w:r>
        <w:t xml:space="preserve"> </w:t>
      </w:r>
      <w:r>
        <w:rPr>
          <w:bCs/>
          <w:b/>
        </w:rPr>
        <w:t xml:space="preserve">một lập luận tích hợp duy nhất</w:t>
      </w:r>
      <w:r>
        <w:t xml:space="preserve"> </w:t>
      </w:r>
      <w:r>
        <w:t xml:space="preserve">chứ không phải tập hợp rời rạc các nghiên cứu thành phần, Bảng 5.1 truy vết</w:t>
      </w:r>
      <w:r>
        <w:t xml:space="preserve"> </w:t>
      </w:r>
      <w:r>
        <w:t xml:space="preserve">“</w:t>
      </w:r>
      <w:r>
        <w:t xml:space="preserve">sợi chỉ vàng</w:t>
      </w:r>
      <w:r>
        <w:t xml:space="preserve">”</w:t>
      </w:r>
      <w:r>
        <w:t xml:space="preserve"> </w:t>
      </w:r>
      <w:r>
        <w:t xml:space="preserve">xuyên suốt: mỗi câu hỏi nghiên cứu được trả lời bằng những nghiên cứu thành phần cụ thể, kiểm định những giả thuyết xác định, cho ra những phát hiện thực nghiệm có thể đối chiếu, và cùng hội tụ về một đóng góp lý thuyết của khung CDCM–ICRV–FIP. Bảng đọc theo chiều ngang cho thấy tính nhất quán nội tại của từng mắt xích; đọc theo chiều dọc cho thấy cách các mảnh bằng chứng độc lập bồi đắp lẫn nhau thành một tuyên bố thống nhất.</w:t>
      </w:r>
    </w:p>
    <w:p>
      <w:pPr>
        <w:pStyle w:val="BodyText"/>
      </w:pPr>
      <w:r>
        <w:rPr>
          <w:bCs/>
          <w:b/>
        </w:rPr>
        <w:t xml:space="preserve">Bảng 5.1.</w:t>
      </w:r>
      <w:r>
        <w:t xml:space="preserve"> </w:t>
      </w:r>
      <w:r>
        <w:rPr>
          <w:iCs/>
          <w:i/>
        </w:rPr>
        <w:t xml:space="preserve">Sợi chỉ vàng tích hợp: câu hỏi nghiên cứu → nghiên cứu thành phần → giả thuyết → phát hiện thực nghiệm chủ chốt → đóng góp lý thuyết.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RQ</w:t>
            </w:r>
          </w:p>
        </w:tc>
        <w:tc>
          <w:tcPr/>
          <w:p>
            <w:pPr>
              <w:pStyle w:val="Compact"/>
              <w:jc w:val="left"/>
            </w:pPr>
            <w:r>
              <w:t xml:space="preserve">Nghiên cứu (nhóm ICRV)</w:t>
            </w:r>
          </w:p>
        </w:tc>
        <w:tc>
          <w:tcPr/>
          <w:p>
            <w:pPr>
              <w:pStyle w:val="Compact"/>
              <w:jc w:val="left"/>
            </w:pPr>
            <w:r>
              <w:t xml:space="preserve">Giả thuyết</w:t>
            </w:r>
          </w:p>
        </w:tc>
        <w:tc>
          <w:tcPr/>
          <w:p>
            <w:pPr>
              <w:pStyle w:val="Compact"/>
              <w:jc w:val="left"/>
            </w:pPr>
            <w:r>
              <w:t xml:space="preserve">Phát hiện thực nghiệm chủ chốt</w:t>
            </w:r>
          </w:p>
        </w:tc>
        <w:tc>
          <w:tcPr/>
          <w:p>
            <w:pPr>
              <w:pStyle w:val="Compact"/>
              <w:jc w:val="left"/>
            </w:pPr>
            <w:r>
              <w:t xml:space="preserve">Đóng góp lý thuyết</w:t>
            </w:r>
          </w:p>
        </w:tc>
      </w:tr>
      <w:tr>
        <w:tc>
          <w:tcPr/>
          <w:p>
            <w:pPr>
              <w:pStyle w:val="Compact"/>
              <w:jc w:val="left"/>
            </w:pPr>
            <w:r>
              <w:t xml:space="preserve">Cơ sở</w:t>
            </w:r>
          </w:p>
        </w:tc>
        <w:tc>
          <w:tcPr/>
          <w:p>
            <w:pPr>
              <w:pStyle w:val="Compact"/>
              <w:jc w:val="left"/>
            </w:pPr>
            <w:r>
              <w:t xml:space="preserve">P1 — Cơ sở đa quốc gia 17 nền (</w:t>
            </w:r>
            <m:oMath>
              <m:r>
                <m:t>N</m:t>
              </m:r>
              <m:r>
                <m:rPr>
                  <m:sty m:val="p"/>
                </m:rPr>
                <m:t>=</m:t>
              </m:r>
              <m:r>
                <m:t>40.633</m:t>
              </m:r>
            </m:oMath>
            <w:r>
              <w:t xml:space="preserve">)</w:t>
            </w:r>
          </w:p>
        </w:tc>
        <w:tc>
          <w:tcPr/>
          <w:p>
            <w:pPr>
              <w:pStyle w:val="Compact"/>
              <w:jc w:val="left"/>
            </w:pPr>
            <w:r>
              <w:t xml:space="preserve">Nền tảng (CDCM)</w:t>
            </w:r>
          </w:p>
        </w:tc>
        <w:tc>
          <w:tcPr/>
          <w:p>
            <w:pPr>
              <w:pStyle w:val="Compact"/>
              <w:jc w:val="left"/>
            </w:pPr>
            <w:r>
              <w:t xml:space="preserve">Phân tầng năng suất theo vùng;</w:t>
            </w:r>
            <w:r>
              <w:t xml:space="preserve"> </w:t>
            </w:r>
            <w:r>
              <w:rPr>
                <w:bCs/>
                <w:b/>
              </w:rPr>
              <w:t xml:space="preserve">hiệu ứng lá chắn số</w:t>
            </w:r>
            <w:r>
              <w:t xml:space="preserve"> </w:t>
            </w:r>
            <w:r>
              <w:t xml:space="preserve">(rào cản ×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w:t>
            </w:r>
          </w:p>
        </w:tc>
        <w:tc>
          <w:tcPr/>
          <w:p>
            <w:pPr>
              <w:pStyle w:val="Compact"/>
              <w:jc w:val="left"/>
            </w:pPr>
            <w:r>
              <w:t xml:space="preserve">Đặt nền cho khung CDCM; nguồn gốc</w:t>
            </w:r>
            <w:r>
              <w:t xml:space="preserve"> </w:t>
            </w:r>
            <w:r>
              <w:t xml:space="preserve">“</w:t>
            </w:r>
            <w:r>
              <w:t xml:space="preserve">lá chắn số</w:t>
            </w:r>
            <w:r>
              <w:t xml:space="preserve">”</w:t>
            </w:r>
            <w:r>
              <w:t xml:space="preserve"> </w:t>
            </w:r>
            <w:r>
              <w:t xml:space="preserve">mà P7 mở rộng ra 50 nền</w:t>
            </w:r>
          </w:p>
        </w:tc>
      </w:tr>
      <w:tr>
        <w:tc>
          <w:tcPr/>
          <w:p>
            <w:pPr>
              <w:pStyle w:val="Compact"/>
              <w:jc w:val="left"/>
            </w:pPr>
            <w:r>
              <w:t xml:space="preserve">RQ1</w:t>
            </w:r>
          </w:p>
        </w:tc>
        <w:tc>
          <w:tcPr/>
          <w:p>
            <w:pPr>
              <w:pStyle w:val="Compact"/>
              <w:jc w:val="left"/>
            </w:pPr>
            <w:r>
              <w:t xml:space="preserve">P6 — Phân tích tổng hợp toàn cầu</w:t>
            </w:r>
          </w:p>
        </w:tc>
        <w:tc>
          <w:tcPr/>
          <w:p>
            <w:pPr>
              <w:pStyle w:val="Compact"/>
              <w:jc w:val="left"/>
            </w:pPr>
            <w:r>
              <w:t xml:space="preserve">H1, H5</w:t>
            </w:r>
          </w:p>
        </w:tc>
        <w:tc>
          <w:tcPr/>
          <w:p>
            <w:pPr>
              <w:pStyle w:val="Compact"/>
              <w:jc w:val="left"/>
            </w:pPr>
            <m:oMath>
              <m:r>
                <m:t>k</m:t>
              </m:r>
              <m:r>
                <m:rPr>
                  <m:sty m:val="p"/>
                </m:rPr>
                <m:t>=</m:t>
              </m:r>
              <m:r>
                <m:t>238</m:t>
              </m:r>
            </m:oMath>
            <w:r>
              <w:t xml:space="preserve">; hiệu ứng dương nhỏ</w:t>
            </w:r>
            <w:r>
              <w:t xml:space="preserve"> </w:t>
            </w:r>
            <m:oMath>
              <m:acc>
                <m:accPr>
                  <m:chr m:val="‾"/>
                </m:accPr>
                <m:e>
                  <m:r>
                    <m:t>r</m:t>
                  </m:r>
                </m:e>
              </m:acc>
              <m:r>
                <m:rPr>
                  <m:sty m:val="p"/>
                </m:rPr>
                <m:t>=</m:t>
              </m:r>
              <m:r>
                <m:t>0</m:t>
              </m:r>
              <m:r>
                <m:rPr>
                  <m:sty m:val="p"/>
                </m:rPr>
                <m:t>,</m:t>
              </m:r>
              <m:r>
                <m:t>074</m:t>
              </m:r>
            </m:oMath>
            <w:r>
              <w:t xml:space="preserve">; dị biệt cao</w:t>
            </w:r>
            <w:r>
              <w:t xml:space="preserve"> </w:t>
            </w:r>
            <m:oMath>
              <m:sSup>
                <m:e>
                  <m:r>
                    <m:t>I</m:t>
                  </m:r>
                </m:e>
                <m:sup>
                  <m:r>
                    <m:t>2</m:t>
                  </m:r>
                </m:sup>
              </m:sSup>
              <m:r>
                <m:rPr>
                  <m:sty m:val="p"/>
                </m:rPr>
                <m:t>=</m:t>
              </m:r>
              <m:r>
                <m:t>62</m:t>
              </m:r>
              <m:r>
                <m:rPr>
                  <m:sty m:val="p"/>
                </m:rPr>
                <m:t>,</m:t>
              </m:r>
              <m:r>
                <m:t>4</m:t>
              </m:r>
              <m:r>
                <m:rPr>
                  <m:sty m:val="p"/>
                </m:rPr>
                <m:t>%</m:t>
              </m:r>
            </m:oMath>
            <w:r>
              <w:t xml:space="preserve">; thể chế điều tiết</w:t>
            </w:r>
            <w:r>
              <w:t xml:space="preserve"> </w:t>
            </w:r>
            <m:oMath>
              <m:sSub>
                <m:e>
                  <m:r>
                    <m:t>Q</m:t>
                  </m:r>
                </m:e>
                <m:sub>
                  <m:r>
                    <m:t>M</m:t>
                  </m:r>
                </m:sub>
              </m:sSub>
              <m:r>
                <m:rPr>
                  <m:sty m:val="p"/>
                </m:rPr>
                <m:t>=</m:t>
              </m:r>
              <m:r>
                <m:t>17</m:t>
              </m:r>
              <m:r>
                <m:rPr>
                  <m:sty m:val="p"/>
                </m:rPr>
                <m:t>,</m:t>
              </m:r>
              <m:r>
                <m:t>35</m:t>
              </m:r>
            </m:oMath>
            <w:r>
              <w:t xml:space="preserve"> </w:t>
            </w:r>
            <w:r>
              <w:t xml:space="preserve">(</w:t>
            </w:r>
            <m:oMath>
              <m:r>
                <m:t>p</m:t>
              </m:r>
              <m:r>
                <m:rPr>
                  <m:sty m:val="p"/>
                </m:rPr>
                <m:t>=</m:t>
              </m:r>
              <m:r>
                <m:rPr>
                  <m:sty m:val="p"/>
                </m:rPr>
                <m:t>,</m:t>
              </m:r>
              <m:r>
                <m:t>002</m:t>
              </m:r>
            </m:oMath>
            <w:r>
              <w:t xml:space="preserve">)</w:t>
            </w:r>
          </w:p>
        </w:tc>
        <w:tc>
          <w:tcPr/>
          <w:p>
            <w:pPr>
              <w:pStyle w:val="Compact"/>
              <w:jc w:val="left"/>
            </w:pPr>
            <w:r>
              <w:t xml:space="preserve">Xác lập thực chứng rằng quan hệ I–P dương nhỏ nhưng</w:t>
            </w:r>
            <w:r>
              <w:t xml:space="preserve"> </w:t>
            </w:r>
            <w:r>
              <w:rPr>
                <w:bCs/>
                <w:b/>
              </w:rPr>
              <w:t xml:space="preserve">dị biệt do thể chế</w:t>
            </w:r>
            <w:r>
              <w:t xml:space="preserve"> </w:t>
            </w:r>
            <w:r>
              <w:t xml:space="preserve">— cơ sở cho trục ICRV</w:t>
            </w:r>
          </w:p>
        </w:tc>
      </w:tr>
      <w:tr>
        <w:tc>
          <w:tcPr/>
          <w:p>
            <w:pPr>
              <w:pStyle w:val="Compact"/>
              <w:jc w:val="left"/>
            </w:pPr>
            <w:r>
              <w:t xml:space="preserve">RQ2</w:t>
            </w:r>
          </w:p>
        </w:tc>
        <w:tc>
          <w:tcPr/>
          <w:p>
            <w:pPr>
              <w:pStyle w:val="Compact"/>
              <w:jc w:val="left"/>
            </w:pPr>
            <w:r>
              <w:t xml:space="preserve">P4 — Singapore (I)</w:t>
            </w:r>
          </w:p>
        </w:tc>
        <w:tc>
          <w:tcPr/>
          <w:p>
            <w:pPr>
              <w:pStyle w:val="Compact"/>
              <w:jc w:val="left"/>
            </w:pPr>
            <w:r>
              <w:t xml:space="preserve">H1, H3</w:t>
            </w:r>
          </w:p>
        </w:tc>
        <w:tc>
          <w:tcPr/>
          <w:p>
            <w:pPr>
              <w:pStyle w:val="Compact"/>
              <w:jc w:val="left"/>
            </w:pPr>
            <w:r>
              <w:t xml:space="preserve">Gần tuyến tính dương; điểm uốn ~88,6% (CI rộng, ngoài miền); DAI khuếch đại ở cường độ cao</w:t>
            </w:r>
          </w:p>
        </w:tc>
        <w:tc>
          <w:tcPr/>
          <w:p>
            <w:pPr>
              <w:pStyle w:val="Compact"/>
              <w:jc w:val="left"/>
            </w:pPr>
            <w:r>
              <w:t xml:space="preserve">Biên trên: đường cong</w:t>
            </w:r>
            <w:r>
              <w:t xml:space="preserve"> </w:t>
            </w:r>
            <w:r>
              <w:rPr>
                <w:bCs/>
                <w:b/>
              </w:rPr>
              <w:t xml:space="preserve">duỗi thẳng</w:t>
            </w:r>
            <w:r>
              <w:t xml:space="preserve"> </w:t>
            </w:r>
            <w:r>
              <w:t xml:space="preserve">khi đệm thể chế dày</w:t>
            </w:r>
          </w:p>
        </w:tc>
      </w:tr>
      <w:tr>
        <w:tc>
          <w:tcPr/>
          <w:p>
            <w:pPr>
              <w:pStyle w:val="Compact"/>
              <w:jc w:val="left"/>
            </w:pPr>
            <w:r>
              <w:t xml:space="preserve">RQ2</w:t>
            </w:r>
          </w:p>
        </w:tc>
        <w:tc>
          <w:tcPr/>
          <w:p>
            <w:pPr>
              <w:pStyle w:val="Compact"/>
              <w:jc w:val="left"/>
            </w:pPr>
            <w:r>
              <w:t xml:space="preserve">P3 — Việt Nam (IV)</w:t>
            </w:r>
          </w:p>
        </w:tc>
        <w:tc>
          <w:tcPr/>
          <w:p>
            <w:pPr>
              <w:pStyle w:val="Compact"/>
              <w:jc w:val="left"/>
            </w:pPr>
            <w:r>
              <w:t xml:space="preserve">H1, H2, H3</w:t>
            </w:r>
          </w:p>
        </w:tc>
        <w:tc>
          <w:tcPr/>
          <w:p>
            <w:pPr>
              <w:pStyle w:val="Compact"/>
              <w:jc w:val="left"/>
            </w:pPr>
            <w:r>
              <w:t xml:space="preserve">Chữ U ngược sắc nét, điểm uốn 39,3–46,2%; TCI điều tiết dương</w:t>
            </w:r>
          </w:p>
        </w:tc>
        <w:tc>
          <w:tcPr/>
          <w:p>
            <w:pPr>
              <w:pStyle w:val="Compact"/>
              <w:jc w:val="left"/>
            </w:pPr>
            <w:r>
              <w:t xml:space="preserve">Chế độ neo; phân biệt</w:t>
            </w:r>
            <w:r>
              <w:t xml:space="preserve"> </w:t>
            </w:r>
            <w:r>
              <w:rPr>
                <w:bCs/>
                <w:b/>
              </w:rPr>
              <w:t xml:space="preserve">biên tham gia</w:t>
            </w:r>
            <w:r>
              <w:t xml:space="preserve"> </w:t>
            </w:r>
            <w:r>
              <w:t xml:space="preserve">vs biên cường độ</w:t>
            </w:r>
          </w:p>
        </w:tc>
      </w:tr>
      <w:tr>
        <w:tc>
          <w:tcPr/>
          <w:p>
            <w:pPr>
              <w:pStyle w:val="Compact"/>
              <w:jc w:val="left"/>
            </w:pPr>
            <w:r>
              <w:t xml:space="preserve">RQ2</w:t>
            </w:r>
          </w:p>
        </w:tc>
        <w:tc>
          <w:tcPr/>
          <w:p>
            <w:pPr>
              <w:pStyle w:val="Compact"/>
              <w:jc w:val="left"/>
            </w:pPr>
            <w:r>
              <w:t xml:space="preserve">P5 — Trung Quốc 2012–2024 (III); P2 — DNVVN TQ</w:t>
            </w:r>
          </w:p>
        </w:tc>
        <w:tc>
          <w:tcPr/>
          <w:p>
            <w:pPr>
              <w:pStyle w:val="Compact"/>
              <w:jc w:val="left"/>
            </w:pPr>
            <w:r>
              <w:t xml:space="preserve">H1, H6</w:t>
            </w:r>
          </w:p>
        </w:tc>
        <w:tc>
          <w:tcPr/>
          <w:p>
            <w:pPr>
              <w:pStyle w:val="Compact"/>
              <w:jc w:val="left"/>
            </w:pPr>
            <w:r>
              <w:t xml:space="preserve">Điểm uốn ổn định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P2: 47,8%, bẫy vốn lưu động</w:t>
            </w:r>
          </w:p>
        </w:tc>
        <w:tc>
          <w:tcPr/>
          <w:p>
            <w:pPr>
              <w:pStyle w:val="Compact"/>
              <w:jc w:val="left"/>
            </w:pPr>
            <w:r>
              <w:rPr>
                <w:bCs/>
                <w:b/>
              </w:rPr>
              <w:t xml:space="preserve">Tính bền thời gian</w:t>
            </w:r>
            <w:r>
              <w:t xml:space="preserve"> </w:t>
            </w:r>
            <w:r>
              <w:t xml:space="preserve">của điểm uốn qua một thập kỷ</w:t>
            </w:r>
          </w:p>
        </w:tc>
      </w:tr>
      <w:tr>
        <w:tc>
          <w:tcPr/>
          <w:p>
            <w:pPr>
              <w:pStyle w:val="Compact"/>
              <w:jc w:val="left"/>
            </w:pPr>
            <w:r>
              <w:t xml:space="preserve">RQ3</w:t>
            </w:r>
          </w:p>
        </w:tc>
        <w:tc>
          <w:tcPr/>
          <w:p>
            <w:pPr>
              <w:pStyle w:val="Compact"/>
              <w:jc w:val="left"/>
            </w:pPr>
            <w:r>
              <w:t xml:space="preserve">P7 — Toàn mẫu 50 nền</w:t>
            </w:r>
          </w:p>
        </w:tc>
        <w:tc>
          <w:tcPr/>
          <w:p>
            <w:pPr>
              <w:pStyle w:val="Compact"/>
              <w:jc w:val="left"/>
            </w:pPr>
            <w:r>
              <w:t xml:space="preserve">H1, H2, H3, H5</w:t>
            </w:r>
          </w:p>
        </w:tc>
        <w:tc>
          <w:tcPr/>
          <w:p>
            <w:pPr>
              <w:pStyle w:val="Compact"/>
              <w:jc w:val="left"/>
            </w:pPr>
            <m:oMath>
              <m:r>
                <m:t>N</m:t>
              </m:r>
              <m:r>
                <m:rPr>
                  <m:sty m:val="p"/>
                </m:rPr>
                <m:t>=</m:t>
              </m:r>
              <m:r>
                <m:t>81.022</m:t>
              </m:r>
              <m:r>
                <m:rPr>
                  <m:sty m:val="p"/>
                </m:rPr>
                <m:t>/</m:t>
              </m:r>
              <m:r>
                <m:t>79.080</m:t>
              </m:r>
            </m:oMath>
            <w:r>
              <w:t xml:space="preserve">; điểm uốn 43,6–51,5%; TCI</w:t>
            </w:r>
            <w:r>
              <w:t xml:space="preserve"> </w:t>
            </w:r>
            <m:oMath>
              <m:r>
                <m:rPr>
                  <m:sty m:val="p"/>
                </m:rPr>
                <m:t>+</m:t>
              </m:r>
              <m:r>
                <m:t>0</m:t>
              </m:r>
              <m:r>
                <m:rPr>
                  <m:sty m:val="p"/>
                </m:rPr>
                <m:t>,</m:t>
              </m:r>
              <m:r>
                <m:t>141</m:t>
              </m:r>
            </m:oMath>
            <w:r>
              <w:t xml:space="preserve">, DAI</w:t>
            </w:r>
            <w:r>
              <w:t xml:space="preserve"> </w:t>
            </w:r>
            <m:oMath>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nâng mặt bằng</w:t>
            </w:r>
          </w:p>
        </w:tc>
        <w:tc>
          <w:tcPr/>
          <w:p>
            <w:pPr>
              <w:pStyle w:val="Compact"/>
              <w:jc w:val="left"/>
            </w:pPr>
            <w:r>
              <w:t xml:space="preserve">Khái quát hóa CDCM; TCI/DAI là</w:t>
            </w:r>
            <w:r>
              <w:t xml:space="preserve"> </w:t>
            </w:r>
            <w:r>
              <w:rPr>
                <w:bCs/>
                <w:b/>
              </w:rPr>
              <w:t xml:space="preserve">bộ nâng mặt bằng phổ quát</w:t>
            </w:r>
            <w:r>
              <w:t xml:space="preserve">, không uốn đường cong</w:t>
            </w:r>
          </w:p>
        </w:tc>
      </w:tr>
      <w:tr>
        <w:tc>
          <w:tcPr/>
          <w:p>
            <w:pPr>
              <w:pStyle w:val="Compact"/>
              <w:jc w:val="left"/>
            </w:pPr>
            <w:r>
              <w:t xml:space="preserve">RQ3</w:t>
            </w:r>
          </w:p>
        </w:tc>
        <w:tc>
          <w:tcPr/>
          <w:p>
            <w:pPr>
              <w:pStyle w:val="Compact"/>
              <w:jc w:val="left"/>
            </w:pPr>
            <w:r>
              <w:t xml:space="preserve">P8 — Pacific SIDS (VI)</w:t>
            </w:r>
          </w:p>
        </w:tc>
        <w:tc>
          <w:tcPr/>
          <w:p>
            <w:pPr>
              <w:pStyle w:val="Compact"/>
              <w:jc w:val="left"/>
            </w:pPr>
            <w:r>
              <w:t xml:space="preserve">H1b</w:t>
            </w:r>
          </w:p>
        </w:tc>
        <w:tc>
          <w:tcPr/>
          <w:p>
            <w:pPr>
              <w:pStyle w:val="Compact"/>
              <w:jc w:val="left"/>
            </w:pPr>
            <w:r>
              <w:t xml:space="preserve">Mất cấu trúc: độ dốc</w:t>
            </w:r>
            <w:r>
              <w:t xml:space="preserve"> </w:t>
            </w:r>
            <m:oMath>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độ cong</w:t>
            </w:r>
            <w:r>
              <w:t xml:space="preserve"> </w:t>
            </w:r>
            <m:oMath>
              <m:r>
                <m:rPr>
                  <m:sty m:val="p"/>
                </m:rPr>
                <m:t>+</m:t>
              </m:r>
              <m:r>
                <m:t>0</m:t>
              </m:r>
              <m:r>
                <m:rPr>
                  <m:sty m:val="p"/>
                </m:rPr>
                <m:t>,</m:t>
              </m:r>
              <m:r>
                <m:t>696</m:t>
              </m:r>
            </m:oMath>
            <w:r>
              <w:t xml:space="preserve"> </w:t>
            </w:r>
            <w:r>
              <w:t xml:space="preserve">(</w:t>
            </w:r>
            <m:oMath>
              <m:sSub>
                <m:e>
                  <m:r>
                    <m:t>p</m:t>
                  </m:r>
                </m:e>
                <m:sub>
                  <m:r>
                    <m:rPr>
                      <m:nor/>
                      <m:sty m:val="p"/>
                    </m:rPr>
                    <m:t>wild</m:t>
                  </m:r>
                </m:sub>
              </m:sSub>
              <m:r>
                <m:rPr>
                  <m:sty m:val="p"/>
                </m:rPr>
                <m:t>=</m:t>
              </m:r>
              <m:r>
                <m:rPr>
                  <m:sty m:val="p"/>
                </m:rPr>
                <m:t>,</m:t>
              </m:r>
              <m:r>
                <m:t>082</m:t>
              </m:r>
            </m:oMath>
            <w:r>
              <w:t xml:space="preserve"> </w:t>
            </w:r>
            <w:r>
              <w:t xml:space="preserve">biên);</w:t>
            </w:r>
            <w:r>
              <w:t xml:space="preserve"> </w:t>
            </w:r>
            <m:oMath>
              <m:r>
                <m:t>N</m:t>
              </m:r>
              <m:r>
                <m:rPr>
                  <m:sty m:val="p"/>
                </m:rPr>
                <m:t>=</m:t>
              </m:r>
              <m:r>
                <m:t>1.450</m:t>
              </m:r>
            </m:oMath>
          </w:p>
        </w:tc>
        <w:tc>
          <w:tcPr/>
          <w:p>
            <w:pPr>
              <w:pStyle w:val="Compact"/>
              <w:jc w:val="left"/>
            </w:pPr>
            <w:r>
              <w:t xml:space="preserve">Định danh</w:t>
            </w:r>
            <w:r>
              <w:t xml:space="preserve"> </w:t>
            </w:r>
            <w:r>
              <w:rPr>
                <w:bCs/>
                <w:b/>
              </w:rPr>
              <w:t xml:space="preserve">FIP</w:t>
            </w:r>
            <w:r>
              <w:t xml:space="preserve"> </w:t>
            </w:r>
            <w:r>
              <w:t xml:space="preserve">— điều kiện biên cực trị của chữ U ngược</w:t>
            </w:r>
          </w:p>
        </w:tc>
      </w:tr>
      <w:tr>
        <w:tc>
          <w:tcPr/>
          <w:p>
            <w:pPr>
              <w:pStyle w:val="Compact"/>
              <w:jc w:val="left"/>
            </w:pPr>
            <w:r>
              <w:t xml:space="preserve">RQ4</w:t>
            </w:r>
          </w:p>
        </w:tc>
        <w:tc>
          <w:tcPr/>
          <w:p>
            <w:pPr>
              <w:pStyle w:val="Compact"/>
              <w:jc w:val="left"/>
            </w:pPr>
            <w:r>
              <w:t xml:space="preserve">P7 — Toàn phổ ICRV</w:t>
            </w:r>
          </w:p>
        </w:tc>
        <w:tc>
          <w:tcPr/>
          <w:p>
            <w:pPr>
              <w:pStyle w:val="Compact"/>
              <w:jc w:val="left"/>
            </w:pPr>
            <w:r>
              <w:t xml:space="preserve">H5</w:t>
            </w:r>
          </w:p>
        </w:tc>
        <w:tc>
          <w:tcPr/>
          <w:p>
            <w:pPr>
              <w:pStyle w:val="Compact"/>
              <w:jc w:val="left"/>
            </w:pPr>
            <w:r>
              <w:t xml:space="preserve">Điểm uốn dịch theo chế độ (Nhóm IV 43,0% → Nhóm I gần tuyến tính → Nhóm V/VI mất cấu trúc)</w:t>
            </w:r>
          </w:p>
        </w:tc>
        <w:tc>
          <w:tcPr/>
          <w:p>
            <w:pPr>
              <w:pStyle w:val="Compact"/>
              <w:jc w:val="left"/>
            </w:pPr>
            <w:r>
              <w:t xml:space="preserve">Thể chế điều tiết cả</w:t>
            </w:r>
            <w:r>
              <w:t xml:space="preserve"> </w:t>
            </w:r>
            <w:r>
              <w:rPr>
                <w:bCs/>
                <w:b/>
              </w:rPr>
              <w:t xml:space="preserve">dạng hàm</w:t>
            </w:r>
            <w:r>
              <w:t xml:space="preserve">, không chỉ độ lớn —</w:t>
            </w:r>
            <w:r>
              <w:t xml:space="preserve"> </w:t>
            </w:r>
            <w:r>
              <w:t xml:space="preserve">“</w:t>
            </w:r>
            <w:r>
              <w:t xml:space="preserve">có điều kiện theo bối cảnh</w:t>
            </w:r>
            <w:r>
              <w:t xml:space="preserve">”</w:t>
            </w:r>
          </w:p>
        </w:tc>
      </w:tr>
      <w:tr>
        <w:tc>
          <w:tcPr/>
          <w:p>
            <w:pPr>
              <w:pStyle w:val="Compact"/>
              <w:jc w:val="left"/>
            </w:pPr>
            <w:r>
              <w:t xml:space="preserve">RQ4</w:t>
            </w:r>
          </w:p>
        </w:tc>
        <w:tc>
          <w:tcPr/>
          <w:p>
            <w:pPr>
              <w:pStyle w:val="Compact"/>
              <w:jc w:val="left"/>
            </w:pPr>
            <w:r>
              <w:t xml:space="preserve">P9 — Ấn Độ 2014–2025 (IV)</w:t>
            </w:r>
          </w:p>
        </w:tc>
        <w:tc>
          <w:tcPr/>
          <w:p>
            <w:pPr>
              <w:pStyle w:val="Compact"/>
              <w:jc w:val="left"/>
            </w:pPr>
            <w:r>
              <w:t xml:space="preserve">H1c</w:t>
            </w:r>
          </w:p>
        </w:tc>
        <w:tc>
          <w:tcPr/>
          <w:p>
            <w:pPr>
              <w:pStyle w:val="Compact"/>
              <w:jc w:val="left"/>
            </w:pPr>
            <w:r>
              <w:rPr>
                <w:bCs/>
                <w:b/>
              </w:rPr>
              <w:t xml:space="preserve">Tan biến</w:t>
            </w:r>
            <w:r>
              <w:t xml:space="preserve"> </w:t>
            </w:r>
            <w:r>
              <w:t xml:space="preserve">điểm uốn: 61,8% (2014) → 40,7% (2022) →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w:t>
            </w:r>
          </w:p>
        </w:tc>
        <w:tc>
          <w:tcPr/>
          <w:p>
            <w:pPr>
              <w:pStyle w:val="Compact"/>
              <w:jc w:val="left"/>
            </w:pPr>
            <w:r>
              <w:t xml:space="preserve">Chuyển đổi thể chế cực mạnh</w:t>
            </w:r>
            <w:r>
              <w:t xml:space="preserve"> </w:t>
            </w:r>
            <w:r>
              <w:rPr>
                <w:bCs/>
                <w:b/>
              </w:rPr>
              <w:t xml:space="preserve">hòa tan</w:t>
            </w:r>
            <w:r>
              <w:t xml:space="preserve"> </w:t>
            </w:r>
            <w:r>
              <w:t xml:space="preserve">chứ không chỉ dịch ngưỡng (điều kiện biên thời gian)</w:t>
            </w:r>
          </w:p>
        </w:tc>
      </w:tr>
      <w:tr>
        <w:tc>
          <w:tcPr/>
          <w:p>
            <w:pPr>
              <w:pStyle w:val="Compact"/>
              <w:jc w:val="left"/>
            </w:pPr>
            <w:r>
              <w:t xml:space="preserve">RQ4</w:t>
            </w:r>
          </w:p>
        </w:tc>
        <w:tc>
          <w:tcPr/>
          <w:p>
            <w:pPr>
              <w:pStyle w:val="Compact"/>
              <w:jc w:val="left"/>
            </w:pPr>
            <w:r>
              <w:t xml:space="preserve">P10 — Nhật Bản 2025 (I)</w:t>
            </w:r>
          </w:p>
        </w:tc>
        <w:tc>
          <w:tcPr/>
          <w:p>
            <w:pPr>
              <w:pStyle w:val="Compact"/>
              <w:jc w:val="left"/>
            </w:pPr>
            <w:r>
              <w:t xml:space="preserve">H1 (biên trên)</w:t>
            </w:r>
          </w:p>
        </w:tc>
        <w:tc>
          <w:tcPr/>
          <w:p>
            <w:pPr>
              <w:pStyle w:val="Compact"/>
              <w:jc w:val="left"/>
            </w:pPr>
            <w:r>
              <w:t xml:space="preserve">Gần tuyến tính dương, điểm uốn ngoài miền; phần bù xuất khẩu 25,8%</w:t>
            </w:r>
          </w:p>
        </w:tc>
        <w:tc>
          <w:tcPr/>
          <w:p>
            <w:pPr>
              <w:pStyle w:val="Compact"/>
              <w:jc w:val="left"/>
            </w:pPr>
            <w:r>
              <w:t xml:space="preserve">Xác nhận</w:t>
            </w:r>
            <w:r>
              <w:t xml:space="preserve"> </w:t>
            </w:r>
            <w:r>
              <w:rPr>
                <w:bCs/>
                <w:b/>
              </w:rPr>
              <w:t xml:space="preserve">dự đoán biên trên</w:t>
            </w:r>
            <w:r>
              <w:t xml:space="preserve">; cơ chế biên tham gia (Melitz, 2003)</w:t>
            </w:r>
          </w:p>
        </w:tc>
      </w:tr>
      <w:tr>
        <w:tc>
          <w:tcPr/>
          <w:p>
            <w:pPr>
              <w:pStyle w:val="Compact"/>
              <w:jc w:val="left"/>
            </w:pPr>
            <w:r>
              <w:t xml:space="preserve">RQ4</w:t>
            </w:r>
          </w:p>
        </w:tc>
        <w:tc>
          <w:tcPr/>
          <w:p>
            <w:pPr>
              <w:pStyle w:val="Compact"/>
              <w:jc w:val="left"/>
            </w:pPr>
            <w:r>
              <w:t xml:space="preserve">Chương sách — Ấn Độ, quản trị (IV)</w:t>
            </w:r>
          </w:p>
        </w:tc>
        <w:tc>
          <w:tcPr/>
          <w:p>
            <w:pPr>
              <w:pStyle w:val="Compact"/>
              <w:jc w:val="left"/>
            </w:pPr>
            <w:r>
              <w:t xml:space="preserve">H4</w:t>
            </w:r>
          </w:p>
        </w:tc>
        <w:tc>
          <w:tcPr/>
          <w:p>
            <w:pPr>
              <w:pStyle w:val="Compact"/>
              <w:jc w:val="left"/>
            </w:pPr>
            <w:r>
              <w:t xml:space="preserve">ROS: kinh nghiệm</w:t>
            </w:r>
            <w:r>
              <w:t xml:space="preserve"> </w:t>
            </w:r>
            <m:oMath>
              <m:r>
                <m:rPr>
                  <m:sty m:val="p"/>
                </m:rPr>
                <m:t>+</m:t>
              </m:r>
              <m:r>
                <m:t>1</m:t>
              </m:r>
              <m:r>
                <m:rPr>
                  <m:sty m:val="p"/>
                </m:rPr>
                <m:t>,</m:t>
              </m:r>
              <m:r>
                <m:t>55</m:t>
              </m:r>
            </m:oMath>
            <w:r>
              <w:t xml:space="preserve">, lãnh đạo nữ</w:t>
            </w:r>
            <w:r>
              <w:t xml:space="preserve"> </w:t>
            </w:r>
            <m:oMath>
              <m:r>
                <m:rPr>
                  <m:sty m:val="p"/>
                </m:rPr>
                <m:t>+</m:t>
              </m:r>
              <m:r>
                <m:t>77</m:t>
              </m:r>
              <m:r>
                <m:rPr>
                  <m:sty m:val="p"/>
                </m:rPr>
                <m:t>,</m:t>
              </m:r>
              <m:r>
                <m:t>03</m:t>
              </m:r>
            </m:oMath>
            <w:r>
              <w:t xml:space="preserve"> </w:t>
            </w:r>
            <w:r>
              <w:t xml:space="preserve">điều tiết dương (</w:t>
            </w:r>
            <m:oMath>
              <m:r>
                <m:t>N</m:t>
              </m:r>
              <m:r>
                <m:rPr>
                  <m:sty m:val="p"/>
                </m:rPr>
                <m:t>=</m:t>
              </m:r>
              <m:r>
                <m:t>380</m:t>
              </m:r>
            </m:oMath>
            <w:r>
              <w:t xml:space="preserve">)</w:t>
            </w:r>
          </w:p>
        </w:tc>
        <w:tc>
          <w:tcPr/>
          <w:p>
            <w:pPr>
              <w:pStyle w:val="Compact"/>
              <w:jc w:val="left"/>
            </w:pPr>
            <w:r>
              <w:t xml:space="preserve">Bằng chứng đơn quốc gia cho</w:t>
            </w:r>
            <w:r>
              <w:t xml:space="preserve"> </w:t>
            </w:r>
            <w:r>
              <w:rPr>
                <w:bCs/>
                <w:b/>
              </w:rPr>
              <w:t xml:space="preserve">tầng quản trị</w:t>
            </w:r>
            <w:r>
              <w:t xml:space="preserve"> </w:t>
            </w:r>
            <w:r>
              <w:t xml:space="preserve">của CDCM</w:t>
            </w:r>
          </w:p>
        </w:tc>
      </w:tr>
    </w:tbl>
    <w:p>
      <w:pPr>
        <w:pStyle w:val="BodyText"/>
      </w:pPr>
      <w:r>
        <w:rPr>
          <w:iCs/>
          <w:i/>
        </w:rPr>
        <w:t xml:space="preserve">Ghi chú: Các con số trích nguyên từ Mục 5.6.1 và các mục kết quả tương ứng (Mục 4.2–4.9). Nhóm ICRV: I = tiên tiến đổi mới; III = trung bình cao; IV = chuyển đổi thu nhập trung bình thấp; VI = SIDS. Nguồn: tác giả tổng hợp.</w:t>
      </w:r>
    </w:p>
    <w:p>
      <w:pPr>
        <w:pStyle w:val="BodyText"/>
      </w:pPr>
      <w:r>
        <w:t xml:space="preserve">Đọc dọc Bảng 5.1, toàn bộ mười nghiên cứu thành phần cùng chương sách bổ sung — nghiên cứu nền tảng 17 nền (P1), một phân tích tổng hợp toàn cầu (P6), năm ước lượng đơn quốc gia trải khắp phổ thể chế (P2–P5, P9), một kiểm định toàn mẫu 50 nền (P7), hai trường hợp biên (P8 SIDS, P10 Nhật Bản), và bằng chứng tầng quản trị từ chương sách — hội tụ về</w:t>
      </w:r>
      <w:r>
        <w:t xml:space="preserve"> </w:t>
      </w:r>
      <w:r>
        <w:rPr>
          <w:bCs/>
          <w:b/>
        </w:rPr>
        <w:t xml:space="preserve">một tuyên bố lý thuyết duy nhất có thể bác bỏ</w:t>
      </w:r>
      <w:r>
        <w:t xml:space="preserve">:</w:t>
      </w:r>
      <w:r>
        <w:t xml:space="preserve"> </w:t>
      </w:r>
      <w:r>
        <w:rPr>
          <w:iCs/>
          <w:i/>
        </w:rPr>
        <w:t xml:space="preserve">mức độ quốc tế hóa cải thiện hiệu quả doanh nghiệp theo một dạng hàm mà bản thân dạng hàm đó là một hàm của vị trí thể chế</w:t>
      </w:r>
      <w:r>
        <w:t xml:space="preserve">. Cụ thể, độ dày đệm thể chế quyết định liệu quan hệ I–P là gần tuyến tính dương (biên trên), chữ U ngược sắc nét (chế độ chuyển đổi), hay mất cấu trúc và đảo dấu (biên dưới). Tuyên bố này nâng luận điểm kinh điển</w:t>
      </w:r>
      <w:r>
        <w:t xml:space="preserve"> </w:t>
      </w:r>
      <w:r>
        <w:t xml:space="preserve">“</w:t>
      </w:r>
      <w:r>
        <w:t xml:space="preserve">bối cảnh quan trọng</w:t>
      </w:r>
      <w:r>
        <w:t xml:space="preserve">”</w:t>
      </w:r>
      <w:r>
        <w:t xml:space="preserve"> </w:t>
      </w:r>
      <w:r>
        <w:t xml:space="preserve">từ một nhận định định tính (thể chế điều tiết</w:t>
      </w:r>
      <w:r>
        <w:t xml:space="preserve"> </w:t>
      </w:r>
      <w:r>
        <w:rPr>
          <w:iCs/>
          <w:i/>
        </w:rPr>
        <w:t xml:space="preserve">độ lớn</w:t>
      </w:r>
      <w:r>
        <w:t xml:space="preserve"> </w:t>
      </w:r>
      <w:r>
        <w:t xml:space="preserve">hiệu ứng) lên một mệnh đề định lượng kiểm định được (thể chế điều tiết</w:t>
      </w:r>
      <w:r>
        <w:t xml:space="preserve"> </w:t>
      </w:r>
      <w:r>
        <w:rPr>
          <w:iCs/>
          <w:i/>
        </w:rPr>
        <w:t xml:space="preserve">dấu và dạng</w:t>
      </w:r>
      <w:r>
        <w:t xml:space="preserve"> </w:t>
      </w:r>
      <w:r>
        <w:t xml:space="preserve">hiệu ứng), và xác định tường minh điểm — chế độ SIDS — mà tại đó cả họ lý thuyết chữ U ngược không còn ứng dụng được.</w:t>
      </w:r>
    </w:p>
    <w:bookmarkEnd w:id="29"/>
    <w:bookmarkEnd w:id="30"/>
    <w:bookmarkStart w:id="38" w:name="so-sánh-với-nghiên-cứu-trước-đây"/>
    <w:p>
      <w:pPr>
        <w:pStyle w:val="Heading2"/>
      </w:pPr>
      <w:r>
        <w:t xml:space="preserve">5.2 So sánh với nghiên cứu trước đây</w:t>
      </w:r>
    </w:p>
    <w:bookmarkStart w:id="31"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31"/>
    <w:bookmarkStart w:id="32"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tại SIDS, nơi dạng chữ U ngược</w:t>
      </w:r>
      <w:r>
        <w:t xml:space="preserve"> </w:t>
      </w:r>
      <w:r>
        <w:rPr>
          <w:bCs/>
          <w:b/>
        </w:rPr>
        <w:t xml:space="preserve">mất cấu trúc</w:t>
      </w:r>
      <w:r>
        <w:t xml:space="preserve"> </w:t>
      </w:r>
      <w:r>
        <w:t xml:space="preserve">(không còn độ cong hay độ dốc có ý nghĩa) thay vì tuân theo đường cong chữ S hay chữ U ngược; FIP được nêu như trường hợp giới hạn lý thuyết của sự mất cấu trúc đó, một biên mà cả lý thuyết ba giai đoạn lẫn đường cong chữ S đều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tài liệu Lu và Beamish.</w:t>
      </w:r>
    </w:p>
    <w:bookmarkEnd w:id="32"/>
    <w:bookmarkStart w:id="33"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phổ thể chế. Quan trọng hơn việc mất thông tin, phân loại nhị phân tạo ra một sai lệch triệt tiêu dấu khi gộp: dưới một nhãn</w:t>
      </w:r>
      <w:r>
        <w:t xml:space="preserve"> </w:t>
      </w:r>
      <w:r>
        <w:t xml:space="preserve">“</w:t>
      </w:r>
      <w:r>
        <w:t xml:space="preserve">mới nổi</w:t>
      </w:r>
      <w:r>
        <w:t xml:space="preserve">”</w:t>
      </w:r>
      <w:r>
        <w:t xml:space="preserve"> </w:t>
      </w:r>
      <w:r>
        <w:t xml:space="preserve">duy nhất, hệ số điều tiết của Marano et al. (2016) lấy trung bình đồng thời các nền có độ cong chữ U ngược âm rõ (Trung Quốc, Việt Nam), các nền gần tuyến tính, và các nền đảo nhỏ có quan hệ âm đơn điệu (FIP) với độ cong bậc hai không tạo điểm uốn nội vùng; kết quả là một hệ số điều tiết gộp che lấp chính sự phân kỳ mà nó cần bộc lộ. Đóng góp của ICRV do đó không nằm ở chỗ</w:t>
      </w:r>
      <w:r>
        <w:t xml:space="preserve"> </w:t>
      </w:r>
      <w:r>
        <w:t xml:space="preserve">“</w:t>
      </w:r>
      <w:r>
        <w:t xml:space="preserve">có nhiều nhóm hơn</w:t>
      </w:r>
      <w:r>
        <w:t xml:space="preserve">”</w:t>
      </w:r>
      <w:r>
        <w:t xml:space="preserve"> </w:t>
      </w:r>
      <w:r>
        <w:t xml:space="preserve">mà ở chỗ tránh được hiện tượng triệt tiêu dấu trong nội bộ nhóm mới nổi, qua đó phục hồi thông tin phổ thể chế mà thước đo nhị phân làm mất.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33"/>
    <w:bookmarkStart w:id="34"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mất cấu trúc hoặc đảo dấu ở biên thể chế yếu (Nhóm V và VI). Phép lấy trung bình này tất yếu tạo ra một tín hiệu gộp bị nén và bất ổn, đúng như các nghiên cứu nhân rộng ghi nhận. Như vậy, kết quả của luận án không mâu thuẫn với tài liệu nhân rộng mà giải thích nó: tính phân tán của các kết quả gộp không phải bằng chứng rằng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p>
      <w:pPr>
        <w:pStyle w:val="BodyText"/>
      </w:pPr>
      <w:r>
        <w:t xml:space="preserve">Một phản biện sắc bén có thể nêu là bản thân cấu trúc ba vùng có nguy cơ là tạo tác của việc nhà nghiên cứu tự chọn điểm cắt ICRV, tức một dạng dò tìm đặc tả hậu nghiệm thay vì một quy luật. Hai đặc điểm của thiết kế bác bỏ cách đọc này. Thứ nhất, các điểm cắt ICRV được xác định trước trên các chỉ báo thể chế (chỉ số quản trị toàn cầu, mức phát triển, đặc trưng cấu trúc), độc lập với biến kết quả quốc tế hóa và hiệu quả, nên chúng không thể được nắn để khớp với hình dạng đường cong. Thứ hai, các ước lượng điểm uốn đơn quốc gia độc lập, Việt Nam (khoảng 39–46% qua ba đợt) và Trung Quốc (khoảng 47–49% qua hai đợt), hội tụ về cùng một dải vùng giữa mà không hề bị ràng buộc phải làm vậy, một sự trùng khớp ngoài mẫu khó nảy sinh từ việc dò tìm đặc tả. Hai đặc điểm này, kết hợp với tam giác hóa giữa phân tích tổng hợp và ước lượng gộp ở Mục 5.2.5, đặt cấu trúc ba vùng trên nền tảng xác nhận chéo chứ không phải trên tự do bậc đặc tả.</w:t>
      </w:r>
    </w:p>
    <w:bookmarkEnd w:id="34"/>
    <w:bookmarkStart w:id="35"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(qua kiểm định tổng thể, omnibus) rằng các chế độ thể chế ICRV khác biệt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kiểm định này chỉ khẳng định</w:t>
      </w:r>
      <w:r>
        <w:t xml:space="preserve"> </w:t>
      </w:r>
      <w:r>
        <w:rPr>
          <w:iCs/>
          <w:i/>
        </w:rPr>
        <w:t xml:space="preserve">có</w:t>
      </w:r>
      <w:r>
        <w:t xml:space="preserve"> </w:t>
      </w:r>
      <w:r>
        <w:t xml:space="preserve">khác biệt giữa các chế độ, còn cấu trúc</w:t>
      </w:r>
      <w:r>
        <w:t xml:space="preserve"> </w:t>
      </w:r>
      <w:r>
        <w:rPr>
          <w:iCs/>
          <w:i/>
        </w:rPr>
        <w:t xml:space="preserve">hướng</w:t>
      </w:r>
      <w:r>
        <w:t xml:space="preserve"> </w:t>
      </w:r>
      <w:r>
        <w:t xml:space="preserve">của gradient do P7 cung cấp chứ không phải P6 (xem Mục 4.6.2). Ước lượng gộp toàn mẫu trên dữ liệu doanh nghiệp gốc của 50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vượt quá tổng của hai phần.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35"/>
    <w:bookmarkStart w:id="36"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đặc tả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Nói cách khác,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36"/>
    <w:bookmarkStart w:id="37"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hoạt động kinh doanh của doanh nghiệp ở các nền kinh tế mới nổi, trong đó tính động công nghệ tạo tương tác dương còn tính động thị trường tạo tương tác âm. Bằng chứng phổ thể chế ICRV của luận án mở rộng quan sát này từ một mẫu khu vực sang khung 50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37"/>
    <w:bookmarkEnd w:id="38"/>
    <w:bookmarkStart w:id="49" w:name="đóng-góp-lý-thuyết"/>
    <w:p>
      <w:pPr>
        <w:pStyle w:val="Heading2"/>
      </w:pPr>
      <w:r>
        <w:t xml:space="preserve">5.3 Đóng góp lý thuyết</w:t>
      </w:r>
    </w:p>
    <w:bookmarkStart w:id="39" w:name="khung-đánh-giá-đóng-góp-lý-thuyết"/>
    <w:p>
      <w:pPr>
        <w:pStyle w:val="Heading3"/>
      </w:pPr>
      <w:r>
        <w:t xml:space="preserve">5.3.0 Khung đánh giá đóng góp lý thuyết</w:t>
      </w:r>
    </w:p>
    <w:p>
      <w:pPr>
        <w:pStyle w:val="FirstParagraph"/>
      </w:pPr>
      <w:r>
        <w:t xml:space="preserve">Trước khi trình bày từng đóng góp, mục này định vị chúng theo hai tiêu chí được chấp nhận rộng rãi để đánh giá đóng góp lý thuyết trong nghiên cứu quản trị và kinh doanh quốc tế:</w:t>
      </w:r>
      <w:r>
        <w:t xml:space="preserve"> </w:t>
      </w:r>
      <w:r>
        <w:rPr>
          <w:bCs/>
          <w:b/>
        </w:rPr>
        <w:t xml:space="preserve">tính nguyên gốc và tính hữu dụng</w:t>
      </w:r>
      <w:r>
        <w:t xml:space="preserve"> </w:t>
      </w:r>
      <w:r>
        <w:t xml:space="preserve">(originality × utility; Corley &amp; Gioia, 2011), và bộ ba câu hỏi</w:t>
      </w:r>
      <w:r>
        <w:t xml:space="preserve"> </w:t>
      </w:r>
      <w:r>
        <w:rPr>
          <w:bCs/>
          <w:b/>
        </w:rPr>
        <w:t xml:space="preserve">“</w:t>
      </w:r>
      <w:r>
        <w:rPr>
          <w:bCs/>
          <w:b/>
        </w:rPr>
        <w:t xml:space="preserve">cái gì – như thế nào – vì sao</w:t>
      </w:r>
      <w:r>
        <w:rPr>
          <w:bCs/>
          <w:b/>
        </w:rPr>
        <w:t xml:space="preserve">”</w:t>
      </w:r>
      <w:r>
        <w:t xml:space="preserve"> </w:t>
      </w:r>
      <w:r>
        <w:t xml:space="preserve">mà một đóng góp lý thuyết phải trả lời (Whetten, 1989). Theo Corley và Gioia (2011), một đóng góp có giá trị phải vừa</w:t>
      </w:r>
      <w:r>
        <w:t xml:space="preserve"> </w:t>
      </w:r>
      <w:r>
        <w:rPr>
          <w:iCs/>
          <w:i/>
        </w:rPr>
        <w:t xml:space="preserve">nguyên gốc</w:t>
      </w:r>
      <w:r>
        <w:t xml:space="preserve"> </w:t>
      </w:r>
      <w:r>
        <w:t xml:space="preserve">(tăng tiến hoặc mở đường mới) vừa</w:t>
      </w:r>
      <w:r>
        <w:t xml:space="preserve"> </w:t>
      </w:r>
      <w:r>
        <w:rPr>
          <w:iCs/>
          <w:i/>
        </w:rPr>
        <w:t xml:space="preserve">hữu dụng</w:t>
      </w:r>
      <w:r>
        <w:t xml:space="preserve"> </w:t>
      </w:r>
      <w:r>
        <w:t xml:space="preserve">(cho khoa học hoặc thực tiễn); luận án định vị mỗi đóng góp trên cả hai trục này thay vì chỉ tuyên bố tính mới.</w:t>
      </w:r>
    </w:p>
    <w:p>
      <w:pPr>
        <w:pStyle w:val="BodyText"/>
      </w:pPr>
      <w:r>
        <w:t xml:space="preserve">Điểm phân biệt cốt lõi giữa</w:t>
      </w:r>
      <w:r>
        <w:t xml:space="preserve"> </w:t>
      </w:r>
      <w:r>
        <w:rPr>
          <w:bCs/>
          <w:b/>
        </w:rPr>
        <w:t xml:space="preserve">đóng góp</w:t>
      </w:r>
      <w:r>
        <w:t xml:space="preserve"> </w:t>
      </w:r>
      <w:r>
        <w:t xml:space="preserve">và</w:t>
      </w:r>
      <w:r>
        <w:t xml:space="preserve"> </w:t>
      </w:r>
      <w:r>
        <w:rPr>
          <w:bCs/>
          <w:b/>
        </w:rPr>
        <w:t xml:space="preserve">nhân rộng</w:t>
      </w:r>
      <w:r>
        <w:t xml:space="preserve"> </w:t>
      </w:r>
      <w:r>
        <w:t xml:space="preserve">(replication) được giữ tường minh: việc tái xác nhận chữ U ngược ở từng bối cảnh đơn lẻ (P3, P4, P5) tự nó là</w:t>
      </w:r>
      <w:r>
        <w:t xml:space="preserve"> </w:t>
      </w:r>
      <w:r>
        <w:rPr>
          <w:iCs/>
          <w:i/>
        </w:rPr>
        <w:t xml:space="preserve">nhân rộng</w:t>
      </w:r>
      <w:r>
        <w:t xml:space="preserve"> </w:t>
      </w:r>
      <w:r>
        <w:t xml:space="preserve">có giá trị xác nhận nhưng không phải đóng góp lý thuyết mới; đóng góp nằm ở</w:t>
      </w:r>
      <w:r>
        <w:t xml:space="preserve"> </w:t>
      </w:r>
      <w:r>
        <w:rPr>
          <w:iCs/>
          <w:i/>
        </w:rPr>
        <w:t xml:space="preserve">cấu trúc hóa</w:t>
      </w:r>
      <w:r>
        <w:t xml:space="preserve"> </w:t>
      </w:r>
      <w:r>
        <w:t xml:space="preserve">sự biến thiên xuyên bối cảnh của dạng hàm đó thành một quy luật kiểm định được. Tương ứng, mỗi đóng góp dưới đây được phát biểu dưới dạng</w:t>
      </w:r>
      <w:r>
        <w:t xml:space="preserve"> </w:t>
      </w:r>
      <w:r>
        <w:rPr>
          <w:bCs/>
          <w:b/>
        </w:rPr>
        <w:t xml:space="preserve">mệnh đề có thể bác bỏ</w:t>
      </w:r>
      <w:r>
        <w:t xml:space="preserve"> </w:t>
      </w:r>
      <w:r>
        <w:t xml:space="preserve">(falsifiable) kèm</w:t>
      </w:r>
      <w:r>
        <w:t xml:space="preserve"> </w:t>
      </w:r>
      <w:r>
        <w:rPr>
          <w:bCs/>
          <w:b/>
        </w:rPr>
        <w:t xml:space="preserve">điều kiện phạm vi</w:t>
      </w:r>
      <w:r>
        <w:t xml:space="preserve"> </w:t>
      </w:r>
      <w:r>
        <w:t xml:space="preserve">(scope conditions) tường minh — đặc điểm mà khung CDCM–ICRV–FIP đáp ứng vì nó dự đoán</w:t>
      </w:r>
      <w:r>
        <w:t xml:space="preserve"> </w:t>
      </w:r>
      <w:r>
        <w:rPr>
          <w:iCs/>
          <w:i/>
        </w:rPr>
        <w:t xml:space="preserve">trước</w:t>
      </w:r>
      <w:r>
        <w:t xml:space="preserve"> </w:t>
      </w:r>
      <w:r>
        <w:t xml:space="preserve">vị trí và sự tồn tại của điểm uốn theo chế độ thể chế, do đó có thể sai nếu dữ liệu không khớp. Bốn đóng góp dưới đây (5.3.1–5.3.7) lần lượt trả lời:</w:t>
      </w:r>
      <w:r>
        <w:t xml:space="preserve"> </w:t>
      </w:r>
      <w:r>
        <w:rPr>
          <w:iCs/>
          <w:i/>
        </w:rPr>
        <w:t xml:space="preserve">cái gì</w:t>
      </w:r>
      <w:r>
        <w:t xml:space="preserve"> </w:t>
      </w:r>
      <w:r>
        <w:t xml:space="preserve">mới được đưa vào (DAI là nguồn lực tình huống; FIP; ICRV; điều kiện ổn định thể chế),</w:t>
      </w:r>
      <w:r>
        <w:t xml:space="preserve"> </w:t>
      </w:r>
      <w:r>
        <w:rPr>
          <w:iCs/>
          <w:i/>
        </w:rPr>
        <w:t xml:space="preserve">như thế nào</w:t>
      </w:r>
      <w:r>
        <w:t xml:space="preserve"> </w:t>
      </w:r>
      <w:r>
        <w:t xml:space="preserve">các cấu trúc này vận hành (qua nâng mặt bằng vs uốn đường cong; qua dịch chuyển vs hòa tan điểm uốn), và</w:t>
      </w:r>
      <w:r>
        <w:t xml:space="preserve"> </w:t>
      </w:r>
      <w:r>
        <w:rPr>
          <w:iCs/>
          <w:i/>
        </w:rPr>
        <w:t xml:space="preserve">vì sao bây giờ</w:t>
      </w:r>
      <w:r>
        <w:t xml:space="preserve"> </w:t>
      </w:r>
      <w:r>
        <w:t xml:space="preserve">(kỷ nguyên số và sự sẵn có lần đầu của dữ liệu doanh nghiệp hài hòa cho 50 nền châu Á – Thái Bình Dương, gồm Nhật Bản 2025).</w:t>
      </w:r>
    </w:p>
    <w:bookmarkEnd w:id="39"/>
    <w:bookmarkStart w:id="40"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40"/>
    <w:bookmarkStart w:id="41"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+0,28 đến +0,43; toàn mẫu 50 nền +0,141; Nhật Bản +0,100; SIDS +0,064), trong khi các tương tác uốn đường cong với cường độ xuất khẩu không đạt ý nghĩa thống kê trên toàn mẫu và chỉ định hình ở một bối cảnh đơn quốc gia. Ngay cả tại SIDS, nơi dạng chữ U ngược mất cấu trúc, năng lực công nghệ vẫn nâng mặt bằng năng suất nhưng không thể uốn độ dốc sang vùng có lợi,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41"/>
    <w:bookmarkStart w:id="42"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 Cần nhấn mạnh rằng đóng góp này chủ yếu mang tính</w:t>
      </w:r>
      <w:r>
        <w:t xml:space="preserve"> </w:t>
      </w:r>
      <w:r>
        <w:rPr>
          <w:bCs/>
          <w:b/>
        </w:rPr>
        <w:t xml:space="preserve">khái niệm</w:t>
      </w:r>
      <w:r>
        <w:t xml:space="preserve">: FIP định danh một điều kiện biên lý thuyết của họ mô hình chữ U ngược. Bằng chứng thực nghiệm đi kèm (P8) mang tính</w:t>
      </w:r>
      <w:r>
        <w:t xml:space="preserve"> </w:t>
      </w:r>
      <w:r>
        <w:rPr>
          <w:bCs/>
          <w:b/>
        </w:rPr>
        <w:t xml:space="preserve">thăm dò</w:t>
      </w:r>
      <w:r>
        <w:t xml:space="preserve"> </w:t>
      </w:r>
      <w:r>
        <w:t xml:space="preserve">và nhạy cảm với phiên bản dữ liệu cũng như số nền đảo nhỏ có dữ liệu doanh nghiệp đầy đủ (Mục 4.7.8); việc kiểm định FIP một cách dứt khoát đòi hỏi mẫu doanh nghiệp đầy đủ hơn ở nhiều nền SIDS với số cụm đủ lớn cho suy luận hợp lệ — một hướng nghiên cứu tương lai trực tiếp. Giá trị của FIP vì vậy nằm ở chỗ nó</w:t>
      </w:r>
      <w:r>
        <w:t xml:space="preserve"> </w:t>
      </w:r>
      <w:r>
        <w:rPr>
          <w:bCs/>
          <w:b/>
        </w:rPr>
        <w:t xml:space="preserve">xác định ranh giới ứng dụng</w:t>
      </w:r>
      <w:r>
        <w:t xml:space="preserve"> </w:t>
      </w:r>
      <w:r>
        <w:t xml:space="preserve">của các lý thuyết quốc tế hóa phổ quát, độc lập với độ lớn chính xác của hệ số ước lượng được.</w:t>
      </w:r>
    </w:p>
    <w:p>
      <w:pPr>
        <w:pStyle w:val="BodyText"/>
      </w:pPr>
      <w:r>
        <w:t xml:space="preserve">Giá trị khái niệm của FIP được làm rõ qua việc phân biệt nó với bốn cấu trúc lân cận trong tài liệu, một phân biệt cần thiết để khẳng định FIP không phải là cách gọi mới của một ý tưởng cũ.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42"/>
    <w:bookmarkStart w:id="43"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r>
        <w:t xml:space="preserve"> </w:t>
      </w:r>
      <w:r>
        <w:rPr>
          <w:bCs/>
          <w:b/>
        </w:rPr>
        <w:t xml:space="preserve">Lưu ý về phạm vi áp dụng:</w:t>
      </w:r>
      <w:r>
        <w:t xml:space="preserve"> </w:t>
      </w:r>
      <w:r>
        <w:t xml:space="preserve">khung sáu chế độ đầy đủ (Nhóm I tới VI, trong đó Nhóm VI là SIDS) được vận hành ở phân tích cấp doanh nghiệp (P7), nơi tồn tại các doanh nghiệp đảo nhỏ trong dữ liệu WBES; còn phân tích tổng hợp ba tầng (P6) sử dụng năm chế độ vì chế độ SIDS không có nghiên cứu sơ cấp công bố cung cấp cỡ ảnh hưởng quốc tế hóa–hiệu quả (</w:t>
      </w:r>
      <m:oMath>
        <m:r>
          <m:t>k</m:t>
        </m:r>
        <m:r>
          <m:rPr>
            <m:sty m:val="p"/>
          </m:rPr>
          <m:t>=</m:t>
        </m:r>
        <m:r>
          <m:t>0</m:t>
        </m:r>
      </m:oMath>
      <w:r>
        <w:t xml:space="preserve">), nên không thể đưa vào kiểm định giữa các chế độ ở cấp phân tích tổng hợp.</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phổ thể chế: chữ U ngược định hình rõ nhất ở vùng giữa (Nhóm IV, điểm uốn 43,0%), duỗi thẳng gần tuyến tính ở biên trên nơi thể chế mạnh đẩy điểm uốn ra mức cường độ xuất khẩu rất cao (Singapore khoảng 88,6%), và mất cấu trúc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43"/>
    <w:bookmarkStart w:id="44"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Tầng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44"/>
    <w:bookmarkStart w:id="45"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mất cấu trúc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bức tranh liên tục từ chữ U ngược đến mất cấu trúc và đảo dấu mới hiện ra trọn vẹn. Đây là một đóng góp về mặt kiến trúc lý thuyết: thay vì lựa chọn một lý thuyết thắng cuộc, luận án định vị rõ phạm vi áp dụng và điều kiện biên của từng lý thuyết, và chỉ ra thể chế là biến liên kết chúng thành một hệ giải thích nhất quán.</w:t>
      </w:r>
    </w:p>
    <w:bookmarkEnd w:id="45"/>
    <w:bookmarkStart w:id="46" w:name="Xc3dc829c9666f9a37bdea499555b18a0609b2ac"/>
    <w:p>
      <w:pPr>
        <w:pStyle w:val="Heading3"/>
      </w:pPr>
      <w:r>
        <w:t xml:space="preserve">5.3.6 Hàm ý phương pháp luận cho nghiên cứu phi tuyến đa bối cảnh</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46"/>
    <w:bookmarkStart w:id="47"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47"/>
    <w:bookmarkStart w:id="48" w:name="X424c76d92b37ed9a157ad7d30d86350b2c8bf81"/>
    <w:p>
      <w:pPr>
        <w:pStyle w:val="Heading3"/>
      </w:pPr>
      <w:r>
        <w:t xml:space="preserve">5.3.8 Điều kiện phạm vi và cơ sở nhận dạng nhân quả của khung CDCM</w:t>
      </w:r>
    </w:p>
    <w:p>
      <w:pPr>
        <w:pStyle w:val="FirstParagraph"/>
      </w:pPr>
      <w:r>
        <w:t xml:space="preserve">Một đóng góp lý thuyết đạt chuẩn quốc tế phải nêu rõ không chỉ</w:t>
      </w:r>
      <w:r>
        <w:t xml:space="preserve"> </w:t>
      </w:r>
      <w:r>
        <w:rPr>
          <w:iCs/>
          <w:i/>
        </w:rPr>
        <w:t xml:space="preserve">nó khẳng định điều gì</w:t>
      </w:r>
      <w:r>
        <w:t xml:space="preserve"> </w:t>
      </w:r>
      <w:r>
        <w:t xml:space="preserve">mà cả</w:t>
      </w:r>
      <w:r>
        <w:t xml:space="preserve"> </w:t>
      </w:r>
      <w:r>
        <w:rPr>
          <w:iCs/>
          <w:i/>
        </w:rPr>
        <w:t xml:space="preserve">trong những điều kiện nào điều đó đúng</w:t>
      </w:r>
      <w:r>
        <w:t xml:space="preserve"> </w:t>
      </w:r>
      <w:r>
        <w:t xml:space="preserve">và</w:t>
      </w:r>
      <w:r>
        <w:t xml:space="preserve"> </w:t>
      </w:r>
      <w:r>
        <w:rPr>
          <w:iCs/>
          <w:i/>
        </w:rPr>
        <w:t xml:space="preserve">cơ sở suy luận nào nâng đỡ khẳng định</w:t>
      </w:r>
      <w:r>
        <w:t xml:space="preserve"> </w:t>
      </w:r>
      <w:r>
        <w:t xml:space="preserve">(Santangelo &amp; Verbeke, 2022). Mục này phát biểu tường minh hai điều đó cho khung CDCM, tách bạch khỏi các hạn chế nghiên cứu (Mục 5.5) vốn nói về điểm yếu của thiết kế chứ không phải ranh giới của lý thuyết.</w:t>
      </w:r>
    </w:p>
    <w:p>
      <w:pPr>
        <w:pStyle w:val="BodyText"/>
      </w:pPr>
      <w:r>
        <w:rPr>
          <w:bCs/>
          <w:b/>
        </w:rPr>
        <w:t xml:space="preserve">Điều kiện phạm vi (boundary conditions).</w:t>
      </w:r>
      <w:r>
        <w:t xml:space="preserve"> </w:t>
      </w:r>
      <w:r>
        <w:t xml:space="preserve">Khung CDCM được phát biểu trong một miền ứng dụng xác định, và chính sự xác định này làm cho nó có thể bị bác bỏ. Thứ nhất,</w:t>
      </w:r>
      <w:r>
        <w:t xml:space="preserve"> </w:t>
      </w:r>
      <w:r>
        <w:rPr>
          <w:iCs/>
          <w:i/>
        </w:rPr>
        <w:t xml:space="preserve">đơn vị và thước đo</w:t>
      </w:r>
      <w:r>
        <w:t xml:space="preserve">: khung áp dụng cho quan hệ ở</w:t>
      </w:r>
      <w:r>
        <w:t xml:space="preserve"> </w:t>
      </w:r>
      <w:r>
        <w:rPr>
          <w:bCs/>
          <w:b/>
        </w:rPr>
        <w:t xml:space="preserve">cấp doanh nghiệp</w:t>
      </w:r>
      <w:r>
        <w:t xml:space="preserve"> </w:t>
      </w:r>
      <w:r>
        <w:t xml:space="preserve">với mức độ quốc tế hóa được đo bằng</w:t>
      </w:r>
      <w:r>
        <w:t xml:space="preserve"> </w:t>
      </w:r>
      <w:r>
        <w:rPr>
          <w:bCs/>
          <w:b/>
        </w:rPr>
        <w:t xml:space="preserve">cường độ xuất khẩu (chiều doanh số của DOI)</w:t>
      </w:r>
      <w:r>
        <w:t xml:space="preserve">; các chiều khác của quốc tế hóa (phạm vi địa lý, chiều sâu cam kết qua đầu tư trực tiếp ra nước ngoài) nằm ngoài phạm vi đã kiểm định và là điều kiện biên cần nhân rộng (Mục 5.5.3.3). Thứ hai,</w:t>
      </w:r>
      <w:r>
        <w:t xml:space="preserve"> </w:t>
      </w:r>
      <w:r>
        <w:rPr>
          <w:iCs/>
          <w:i/>
        </w:rPr>
        <w:t xml:space="preserve">miền thể chế</w:t>
      </w:r>
      <w:r>
        <w:t xml:space="preserve">: khung được hiệu chỉnh và kiểm định trên</w:t>
      </w:r>
      <w:r>
        <w:t xml:space="preserve"> </w:t>
      </w:r>
      <w:r>
        <w:rPr>
          <w:bCs/>
          <w:b/>
        </w:rPr>
        <w:t xml:space="preserve">phổ thể chế châu Á và Thái Bình Dương</w:t>
      </w:r>
      <w:r>
        <w:t xml:space="preserve"> </w:t>
      </w:r>
      <w:r>
        <w:t xml:space="preserve">giai đoạn 2006–2026; việc mở rộng sang các khu vực có cấu hình thể chế khác (Mỹ Latinh, châu Phi hạ Sahara) là một kiểm định phạm vi mở. Thứ ba,</w:t>
      </w:r>
      <w:r>
        <w:t xml:space="preserve"> </w:t>
      </w:r>
      <w:r>
        <w:rPr>
          <w:iCs/>
          <w:i/>
        </w:rPr>
        <w:t xml:space="preserve">giả định cấu trúc tối thiểu</w:t>
      </w:r>
      <w:r>
        <w:t xml:space="preserve">: khung ngầm giả định ba điều kiện cấu trúc — thị trường nội địa đủ lớn, chi phí thương mại không quá cao, và tồn tại hỗ trợ thể chế tối thiểu — được thỏa mãn; chính việc</w:t>
      </w:r>
      <w:r>
        <w:t xml:space="preserve"> </w:t>
      </w:r>
      <w:r>
        <w:rPr>
          <w:bCs/>
          <w:b/>
        </w:rPr>
        <w:t xml:space="preserve">định danh trường hợp các giả định này đồng thời bị vi phạm</w:t>
      </w:r>
      <w:r>
        <w:t xml:space="preserve"> </w:t>
      </w:r>
      <w:r>
        <w:t xml:space="preserve">(chế độ SIDS, qua khái niệm FIP) là cách luận án biến điều kiện biên ngầm của cả họ lý thuyết chữ U ngược thành một mệnh đề tường minh. Khung do đó tự nêu ranh giới ứng dụng của chính nó: tại biên dưới cực trị của phổ thể chế, dạng hàm chữ U ngược không còn là mô tả đúng.</w:t>
      </w:r>
    </w:p>
    <w:p>
      <w:pPr>
        <w:pStyle w:val="BodyText"/>
      </w:pPr>
      <w:r>
        <w:rPr>
          <w:bCs/>
          <w:b/>
        </w:rPr>
        <w:t xml:space="preserve">Cơ sở nhận dạng nhân quả.</w:t>
      </w:r>
      <w:r>
        <w:t xml:space="preserve"> </w:t>
      </w:r>
      <w:r>
        <w:t xml:space="preserve">Luận án giữ thái độ suy luận thận trọng và nhất quán: thiết kế dữ liệu là</w:t>
      </w:r>
      <w:r>
        <w:t xml:space="preserve"> </w:t>
      </w:r>
      <w:r>
        <w:rPr>
          <w:bCs/>
          <w:b/>
        </w:rPr>
        <w:t xml:space="preserve">chuỗi cắt ngang lặp lại</w:t>
      </w:r>
      <w:r>
        <w:t xml:space="preserve"> </w:t>
      </w:r>
      <w:r>
        <w:t xml:space="preserve">(không phải dữ liệu bảng theo dõi cùng doanh nghiệp), nên các phát biểu được hiểu là</w:t>
      </w:r>
      <w:r>
        <w:t xml:space="preserve"> </w:t>
      </w:r>
      <w:r>
        <w:rPr>
          <w:bCs/>
          <w:b/>
        </w:rPr>
        <w:t xml:space="preserve">quan hệ cấu trúc có điều kiện</w:t>
      </w:r>
      <w:r>
        <w:t xml:space="preserve"> </w:t>
      </w:r>
      <w:r>
        <w:t xml:space="preserve">chứ không phải hiệu ứng nhân quả điểm được nhận dạng chặt. Tuy vậy, độ tin cậy của luận điểm trung tâm không dựa trên một ước lượng đơn lẻ mà trên</w:t>
      </w:r>
      <w:r>
        <w:t xml:space="preserve"> </w:t>
      </w:r>
      <w:r>
        <w:rPr>
          <w:bCs/>
          <w:b/>
        </w:rPr>
        <w:t xml:space="preserve">tam giác hóa nhiều nguồn nhận dạng có thiên lệch không trùng nhau</w:t>
      </w:r>
      <w:r>
        <w:t xml:space="preserve">: (i) biến công cụ cho chấp nhận số với kiểm định độ mạnh công cụ (Mục 3.5.6.1), cho hệ số DAI được công cụ hóa gần</w:t>
      </w:r>
      <w:r>
        <w:t xml:space="preserve"> </w:t>
      </w:r>
      <w:r>
        <w:t xml:space="preserve">“</w:t>
      </w:r>
      <w:r>
        <w:t xml:space="preserve">không</w:t>
      </w:r>
      <w:r>
        <w:t xml:space="preserve">”</w:t>
      </w:r>
      <w:r>
        <w:t xml:space="preserve"> </w:t>
      </w:r>
      <w:r>
        <w:t xml:space="preserve">— gợi ý phần lớn tương quan DAI–hiệu quả mang tính chọn lọc chứ không nhân quả, một kết luận</w:t>
      </w:r>
      <w:r>
        <w:t xml:space="preserve"> </w:t>
      </w:r>
      <w:r>
        <w:rPr>
          <w:iCs/>
          <w:i/>
        </w:rPr>
        <w:t xml:space="preserve">khiêm tốn hóa</w:t>
      </w:r>
      <w:r>
        <w:t xml:space="preserve"> </w:t>
      </w:r>
      <w:r>
        <w:t xml:space="preserve">chứ không thổi phồng; (ii) giới hạn Oster về thiên lệch do biến bỏ sót không quan sát (Mục 3.5.6.2); (iii) kiểm định ổn định hệ số Paternoster xuyên đợt khảo sát (P5:</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(iv)</w:t>
      </w:r>
      <w:r>
        <w:t xml:space="preserve"> </w:t>
      </w:r>
      <w:r>
        <w:rPr>
          <w:bCs/>
          <w:b/>
        </w:rPr>
        <w:t xml:space="preserve">tính nhất quán về dấu xuyên nhiều đặc tả</w:t>
      </w:r>
      <w:r>
        <w:t xml:space="preserve"> </w:t>
      </w:r>
      <w:r>
        <w:t xml:space="preserve">như nguyên tắc suy luận nền tảng (Mục 3.5.6.3); và (v) sự hội tụ giữa phân tích tổng hợp (P6) và ước lượng gộp cấp doanh nghiệp (P7) — hai phương pháp chịu các nguồn thiên lệch khác nhau nhưng cùng định vị thể chế là biến điều tiết then chốt (Mục 5.2.5). Khi năm nguồn nhận dạng với điểm yếu bù trừ lẫn nhau cùng chỉ về một kết luận, luận điểm cấu trúc trở nên khó quy về tạo tác của một quy trình phân tích đơn lẻ, ngay cả khi từng nguồn riêng lẻ không đủ để nhận dạng nhân quả điểm. Đây chính là chuẩn suy luận mà tài liệu kinh doanh quốc tế đương đại kỳ vọng ở thiết kế quan sát đa bối cảnh.</w:t>
      </w:r>
    </w:p>
    <w:bookmarkEnd w:id="48"/>
    <w:bookmarkEnd w:id="49"/>
    <w:bookmarkStart w:id="58"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50"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Phổ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50"/>
    <w:bookmarkStart w:id="51"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1"/>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01"/>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01"/>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1"/>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51"/>
    <w:bookmarkStart w:id="52"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Nói tóm lại, tránh bẫy quốc tế hóa cưỡng bức bằng cách bảo đảm rằng các can thiệp chính sách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52"/>
    <w:bookmarkStart w:id="53"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Tầng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53"/>
    <w:bookmarkStart w:id="54" w:name="X056a055cf9bbd2362c13ba6bcaa0837c6095056"/>
    <w:p>
      <w:pPr>
        <w:pStyle w:val="Heading3"/>
      </w:pPr>
      <w:r>
        <w:t xml:space="preserve">5.4.5 Khung can thiệp phân tầng theo chế độ thể chế ICRV</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w:t>
      </w:r>
    </w:p>
    <w:p>
      <w:pPr>
        <w:pStyle w:val="BodyText"/>
      </w:pP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dạng chữ U ngược mất cấu trúc và quan hệ có xu hướng nghiêng âm,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bookmarkEnd w:id="54"/>
    <w:bookmarkStart w:id="55" w:name="X94c43498f06ecb7abaaed75113bae3686126e0f"/>
    <w:p>
      <w:pPr>
        <w:pStyle w:val="Heading3"/>
      </w:pPr>
      <w:r>
        <w:t xml:space="preserve">5.4.6 Quy tắc quyết định cho nhà quản trị doanh nghiệp theo vị trí thể chế</w:t>
      </w:r>
    </w:p>
    <w:p>
      <w:pPr>
        <w:pStyle w:val="FirstParagraph"/>
      </w:pPr>
      <w:r>
        <w:t xml:space="preserve">Khung ba vùng cũng dịch thành một quy tắc quyết định gọn cho nhà quản trị doanh nghiệp, thay vì một khuyến nghị chung chung về</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mất cấu trúc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bookmarkEnd w:id="55"/>
    <w:bookmarkStart w:id="56" w:name="Xfbac78e10081884d51e43be54dacc466d8cff43"/>
    <w:p>
      <w:pPr>
        <w:pStyle w:val="Heading3"/>
      </w:pPr>
      <w:r>
        <w:t xml:space="preserve">5.4.7 Đề xuất cho các tổ chức phát triển và tài trợ quốc tế</w:t>
      </w:r>
    </w:p>
    <w:p>
      <w:pPr>
        <w:pStyle w:val="FirstParagraph"/>
      </w:pP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56"/>
    <w:bookmarkStart w:id="57" w:name="Xe0db8e28cf03dc8a65a6387c8f4ba9208afb8a3"/>
    <w:p>
      <w:pPr>
        <w:pStyle w:val="Heading3"/>
      </w:pPr>
      <w:r>
        <w:t xml:space="preserve">5.4.8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57"/>
    <w:bookmarkEnd w:id="58"/>
    <w:bookmarkStart w:id="68" w:name="hạn-chế-và-hướng-nghiên-cứu-tương-lai"/>
    <w:p>
      <w:pPr>
        <w:pStyle w:val="Heading2"/>
      </w:pPr>
      <w:r>
        <w:t xml:space="preserve">5.5 Hạn chế và hướng nghiên cứu tương lai</w:t>
      </w:r>
    </w:p>
    <w:bookmarkStart w:id="59"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Tầng 1 DAI (website, email, online sales) được sử dụng do hạn chế của các làn sóng 2009 và 2015, trong khi Tầng 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tĩnh</w:t>
      </w:r>
      <w:r>
        <w:t xml:space="preserve">, tức tại một thời điểm khảo sát, không thể nắm bắt tính động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lý thuyết năng lực động (Teece et al., 1997).</w:t>
      </w:r>
    </w:p>
    <w:bookmarkEnd w:id="59"/>
    <w:bookmarkStart w:id="60"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60"/>
    <w:bookmarkStart w:id="61"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61"/>
    <w:bookmarkStart w:id="62"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Tầng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Tầng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Tầng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Tầng 1 chứ không phải sự vắng mặt của cơ chế. Hạn chế này có hệ quả trực tiếp: các kết luận về DAI ở những bối cảnh chỉ đo được Tầng 1 nên được hiểu là chưa kết luận hơn là bác bỏ, và việc kiểm định lại với thước đo Tầng 2 và Tầng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62"/>
    <w:bookmarkStart w:id="63"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50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bookmarkEnd w:id="63"/>
    <w:bookmarkStart w:id="64"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64"/>
    <w:bookmarkStart w:id="65"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phổ thể chế chứ không phải một thang đo chính xác tuyệt đối.</w:t>
      </w:r>
    </w:p>
    <w:bookmarkEnd w:id="65"/>
    <w:bookmarkStart w:id="66"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66"/>
    <w:bookmarkStart w:id="67" w:name="hướng-nghiên-cứu-tương-lai"/>
    <w:p>
      <w:pPr>
        <w:pStyle w:val="Heading3"/>
      </w:pPr>
      <w:r>
        <w:t xml:space="preserve">5.5.4 Hướng nghiên cứu tương lai</w:t>
      </w:r>
    </w:p>
    <w:p>
      <w:pPr>
        <w:pStyle w:val="FirstParagraph"/>
      </w:pPr>
      <w:r>
        <w:t xml:space="preserve">Dựa trên các hạn chế trên, luận án đề xuất bảy hướng nghiên cứu ưu tiên:</w:t>
      </w:r>
    </w:p>
    <w:p>
      <w:pPr>
        <w:pStyle w:val="BodyText"/>
      </w:pPr>
      <w:r>
        <w:rPr>
          <w:bCs/>
          <w:b/>
        </w:rPr>
        <w:t xml:space="preserve">Thứ nhất</w:t>
      </w:r>
      <w:r>
        <w:t xml:space="preserve">, xây dựng đo lường DAI phong phú hơn (Tầng 2 và Tầng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đặc điểm nhà quản trị cấp cao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phân hệ đặc thù (trường thọ doanh nghiệp, khoảng cách giới trong lãnh đạo) khi có thêm đợt khảo sát thứ hai.</w:t>
      </w:r>
    </w:p>
    <w:p>
      <w:pPr>
        <w:pStyle w:val="BodyText"/>
      </w:pPr>
      <w:r>
        <w:rPr>
          <w:bCs/>
          <w:b/>
        </w:rPr>
        <w:t xml:space="preserve">Thứ sáu</w:t>
      </w:r>
      <w:r>
        <w:t xml:space="preserve">,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sự dịch chuyển trọng tâm giữa biên tham gia và biên cường độ dọc theo phổ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phổ thể chế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phổ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67"/>
    <w:bookmarkEnd w:id="68"/>
    <w:bookmarkStart w:id="73" w:name="kết-luận"/>
    <w:p>
      <w:pPr>
        <w:pStyle w:val="Heading2"/>
      </w:pPr>
      <w:r>
        <w:t xml:space="preserve">5.6 Kết luận</w:t>
      </w:r>
    </w:p>
    <w:bookmarkStart w:id="69"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02"/>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02"/>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02"/>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02"/>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02"/>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P7</w:t>
      </w:r>
      <w:r>
        <w:t xml:space="preserve">: kiểm định toàn mẫu châu Á và Thái Bình Dương trên khung 50 nền kinh tế,</w:t>
      </w:r>
      <w:r>
        <w:t xml:space="preserve"> </w:t>
      </w:r>
      <m:oMath>
        <m:r>
          <m:t>N</m:t>
        </m:r>
        <m:r>
          <m:rPr>
            <m:sty m:val="p"/>
          </m:rPr>
          <m:t>=</m:t>
        </m:r>
        <m:r>
          <m:t>81.022</m:t>
        </m:r>
      </m:oMath>
      <w:r>
        <w:t xml:space="preserve"> </w:t>
      </w:r>
      <w:r>
        <w:t xml:space="preserve">(bậc hai) và</w:t>
      </w:r>
      <w:r>
        <w:t xml:space="preserve"> </w:t>
      </w:r>
      <m:oMath>
        <m:r>
          <m:t>N</m:t>
        </m:r>
        <m:r>
          <m:rPr>
            <m:sty m:val="p"/>
          </m:rPr>
          <m:t>=</m:t>
        </m:r>
        <m:r>
          <m:t>79.080</m:t>
        </m:r>
      </m:oMath>
      <w:r>
        <w:t xml:space="preserve"> </w:t>
      </w:r>
      <w:r>
        <w:t xml:space="preserve">(mô hình đầy đủ), điểm uốn 43,6–51,5% (mô hình chính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mất cấu trúc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02"/>
        </w:numPr>
      </w:pPr>
      <w:r>
        <w:rPr>
          <w:bCs/>
          <w:b/>
        </w:rPr>
        <w:t xml:space="preserve">P8</w:t>
      </w:r>
      <w:r>
        <w:t xml:space="preserve">: phân tích bảy nền kinh tế đảo nhỏ đang phát triển Thái Bình Dương (loại Timor-Leste theo phân loại WB/UN;</w:t>
      </w:r>
      <w:r>
        <w:t xml:space="preserve"> </w:t>
      </w:r>
      <m:oMath>
        <m:r>
          <m:t>N</m:t>
        </m:r>
        <m:r>
          <m:rPr>
            <m:sty m:val="p"/>
          </m:rPr>
          <m:t>=</m:t>
        </m:r>
        <m:r>
          <m:t>1.450</m:t>
        </m:r>
      </m:oMath>
      <w:r>
        <w:t xml:space="preserve">, bảy cụm), phát hiện vững là</w:t>
      </w:r>
      <w:r>
        <w:t xml:space="preserve"> </w:t>
      </w:r>
      <w:r>
        <w:rPr>
          <w:bCs/>
          <w:b/>
        </w:rPr>
        <w:t xml:space="preserve">việc dạng chữ U ngược mất cấu trúc</w:t>
      </w:r>
      <w:r>
        <w:t xml:space="preserve"> </w:t>
      </w:r>
      <w:r>
        <w:t xml:space="preserve">—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 tương phản với chữ U ngược của lục địa; FIP được nêu như trường hợp giới hạn lý thuyết, với hệ số âm mạnh (</w:t>
      </w:r>
      <m:oMath>
        <m:r>
          <m:rPr>
            <m:sty m:val="p"/>
          </m:rPr>
          <m:t>−</m:t>
        </m:r>
        <m:r>
          <m:t>1</m:t>
        </m:r>
        <m:r>
          <m:rPr>
            <m:sty m:val="p"/>
          </m:rPr>
          <m:t>,</m:t>
        </m:r>
        <m:r>
          <m:t>339</m:t>
        </m:r>
      </m:oMath>
      <w:r>
        <w:t xml:space="preserve">) chỉ xuất hiện trên một bản dựng dữ liệu hạn chế ba cụm và mang tính minh họa, nhạy cảm với phiên bản dữ liệu (xem Mục 4.7.8).</w:t>
      </w:r>
    </w:p>
    <w:p>
      <w:pPr>
        <w:numPr>
          <w:ilvl w:val="0"/>
          <w:numId w:val="1002"/>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Tầng 2 (UPI) âm, bằng chứng đầu tiên rằng chuyển đổi thể chế cực mạnh có thể hòa tan chứ không chỉ dịch chuyển ngưỡng.</w:t>
      </w:r>
    </w:p>
    <w:p>
      <w:pPr>
        <w:numPr>
          <w:ilvl w:val="0"/>
          <w:numId w:val="1002"/>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02"/>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69"/>
    <w:bookmarkStart w:id="70"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phổ thể chế (Nhóm IV, điểm uốn khoảng 43%), duỗi thẳng gần tuyến tính ở biên trên nơi thể chế mạnh đẩy điểm uốn ra mức cường độ xuất khẩu rất cao (Singapore khoảng 88,6%, gần hoặc vượt biên dữ liệu quan sát), và mất cấu trúc ở biên dưới nơi thể chế yếu nhất; nghĩa là thể chế càng mạnh, doanh nghiệp càng duy trì lợi ích từ quốc tế hóa đến mức cường độ cao hơn trước khi đạt đỉnh.</w:t>
      </w:r>
    </w:p>
    <w:bookmarkEnd w:id="70"/>
    <w:bookmarkStart w:id="71"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71"/>
    <w:bookmarkStart w:id="72" w:name="lời-kết"/>
    <w:p>
      <w:pPr>
        <w:pStyle w:val="Heading3"/>
      </w:pPr>
      <w:r>
        <w:t xml:space="preserve">5.6.4 Lời kết</w:t>
      </w:r>
    </w:p>
    <w:p>
      <w:pPr>
        <w:pStyle w:val="FirstParagraph"/>
      </w:pPr>
      <w:r>
        <w:t xml:space="preserve">Luận án này bắt đầu từ câu hỏi đơn giản: quốc tế hóa có cải thiện hiệu quả hoạt động kinh doanh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Hiểu biết này, rằng quan hệ quốc tế hóa và hiệu quả là quan hệ có điều kiện theo thể chế chứ không phải quan hệ phổ quát, là đóng góp cốt lõi mà luận án mang lại cho khoa học quản trị kinh doanh quốc tế.</w:t>
      </w:r>
    </w:p>
    <w:p>
      <w:r>
        <w:pict>
          <v:rect style="width:0;height:1.5pt" o:hralign="center" o:hrstd="t" o:hr="t"/>
        </w:pict>
      </w:r>
    </w:p>
    <w:bookmarkEnd w:id="72"/>
    <w:bookmarkEnd w:id="73"/>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2026-06-23T11:24:44Z</dcterms:created>
  <dcterms:modified xsi:type="dcterms:W3CDTF">2026-06-23T11:24:44Z</dcterms:modified>
</cp:coreProperties>
</file>

<file path=docProps/custom.xml><?xml version="1.0" encoding="utf-8"?>
<Properties xmlns="http://schemas.openxmlformats.org/officeDocument/2006/custom-properties" xmlns:vt="http://schemas.openxmlformats.org/officeDocument/2006/docPropsVTypes"/>
</file>