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 .660); only ~1.0 % of pooled firms sit within</w:t>
      </w:r>
      <w:r>
        <w:t xml:space="preserve"> </w:t>
      </w:r>
      <m:oMath>
        <m:r>
          <m:rPr>
            <m:sty m:val="p"/>
          </m:rPr>
          <m:t>±</m:t>
        </m:r>
      </m:oMath>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lies at the heart of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driven primarily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The participation-margin mechanism itself is well established in the trade and selection literatures — Melitz (2003) on heterogeneous firms with sunk export costs, Wagner (2007) on exporter productivity premia, and Bernard et al. (2007, 2012) on extensive-margin productivity gains. Our contribution is not to discover this mechanism but to document that, in three repeated cross-sections of Vietnamese firms, the participation-margin effect is large enough to explain the entire apparent inverted-U observed in standard FSTS-and-FSTS² specifications, with the within-exporter curvature statistically flat. This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w:t>
      </w:r>
      <w:r>
        <w:t xml:space="preserve"> </w:t>
      </w:r>
      <w:r>
        <w:rPr>
          <w:iCs/>
          <w:i/>
        </w:rPr>
        <w:t xml:space="preserve">interpretation</w:t>
      </w:r>
      <w:r>
        <w:t xml:space="preserve"> </w:t>
      </w:r>
      <w:r>
        <w:t xml:space="preserve">of the apparent inverted-U: the Vietnamese evidence suggests that the robustly identified turning point (39–46 % FSTS) reflects a step function across the export-participation barrier rather than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 .660), and only ~1.0 % of pooled firms occupy the</w:t>
      </w:r>
      <w:r>
        <w:t xml:space="preserve"> </w:t>
      </w:r>
      <m:oMath>
        <m:r>
          <m:rPr>
            <m:sty m:val="p"/>
          </m:rPr>
          <m:t>±</m:t>
        </m:r>
      </m:oMath>
      <w:r>
        <w:t xml:space="preserve">5 percentage-point neighbourhood of the turning point. The participation-margin mechanism itself is well-known in the trade literature (Melitz, 2003; Bernard et al., 2007, 2012; Wagner, 2007); our contribution is empirical decomposition, not mechanism discovery.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bSup>
          <m:e>
            <m:r>
              <m:rPr>
                <m:nor/>
                <m:sty m:val="p"/>
              </m:rPr>
              <m:t>FSTS</m:t>
            </m:r>
          </m:e>
          <m:sub>
            <m:r>
              <m:t>c</m:t>
            </m:r>
          </m:sub>
          <m:sup>
            <m:r>
              <m:t>2</m:t>
            </m:r>
          </m:sup>
        </m:sSubSup>
      </m:oMath>
      <w:r>
        <w:t xml:space="preserve"> </w:t>
      </w:r>
      <m:oMath>
        <m:r>
          <m:t>β</m:t>
        </m:r>
      </m:oMath>
      <w:r>
        <w:t xml:space="preserve"> </w:t>
      </w:r>
      <w:r>
        <w:t xml:space="preserve">=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sSub>
          <m:e>
            <m:r>
              <m:rPr>
                <m:nor/>
                <m:sty m:val="p"/>
              </m:rPr>
              <m:t>TCI</m:t>
            </m:r>
          </m:e>
          <m:sub>
            <m:r>
              <m:t>z</m:t>
            </m:r>
          </m:sub>
        </m:sSub>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nor/>
                <m:sty m:val="p"/>
              </m:rPr>
              <m:t>TCI</m:t>
            </m:r>
          </m:e>
          <m:sub>
            <m:r>
              <m:t>f</m:t>
            </m:r>
          </m:sub>
        </m:sSub>
      </m:oMath>
      <w:r>
        <w:t xml:space="preserve">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w:t>
      </w:r>
      <m:oMath>
        <m:sSub>
          <m:e>
            <m:r>
              <m:rPr>
                <m:nor/>
                <m:sty m:val="p"/>
              </m:rPr>
              <m:t>TCI</m:t>
            </m:r>
          </m:e>
          <m:sub>
            <m:r>
              <m:t>z</m:t>
            </m:r>
          </m:sub>
        </m:sSub>
      </m:oMath>
      <w:r>
        <w:t xml:space="preserve">),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sSub>
          <m:e>
            <m:r>
              <m:rPr>
                <m:nor/>
                <m:sty m:val="p"/>
              </m:rPr>
              <m:t>DAI</m:t>
            </m:r>
          </m:e>
          <m:sub>
            <m:r>
              <m:t>z</m:t>
            </m:r>
          </m:sub>
        </m:sSub>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w:t>
      </w:r>
      <w:r>
        <w:t xml:space="preserve"> </w:t>
      </w:r>
      <m:oMath>
        <m:sSub>
          <m:e>
            <m:r>
              <m:rPr>
                <m:nor/>
                <m:sty m:val="p"/>
              </m:rPr>
              <m:t>DAI</m:t>
            </m:r>
          </m:e>
          <m:sub>
            <m:r>
              <m:t>z</m:t>
            </m:r>
          </m:sub>
        </m:sSub>
      </m:oMath>
    </w:p>
    <w:p>
      <w:pPr>
        <w:pStyle w:val="BodyText"/>
      </w:pPr>
      <w:r>
        <w:t xml:space="preserve">anchors at Tier 1 only. A Tier 3-style extension (</w:t>
      </w:r>
      <m:oMath>
        <m:sSub>
          <m:e>
            <m:r>
              <m:rPr>
                <m:nor/>
                <m:sty m:val="p"/>
              </m:rPr>
              <m:t>DAI</m:t>
            </m:r>
          </m:e>
          <m:sub>
            <m:r>
              <m:t>r</m:t>
            </m:r>
          </m:sub>
        </m:sSub>
      </m:oMath>
      <w:r>
        <w:t xml:space="preserve">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sSub>
          <m:e>
            <m:r>
              <m:rPr>
                <m:nor/>
                <m:sty m:val="p"/>
              </m:rPr>
              <m:t>DAI</m:t>
            </m:r>
          </m:e>
          <m:sub>
            <m:r>
              <m:t>z</m:t>
            </m:r>
          </m:sub>
        </m:sSub>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w:t>
      </w:r>
      <w:r>
        <w:t xml:space="preserve"> </w:t>
      </w:r>
      <m:oMath>
        <m:sSub>
          <m:e>
            <m:r>
              <m:rPr>
                <m:nor/>
                <m:sty m:val="p"/>
              </m:rPr>
              <m:t>DAI</m:t>
            </m:r>
          </m:e>
          <m:sub>
            <m:r>
              <m:t>z</m:t>
            </m:r>
          </m:sub>
        </m:sSub>
      </m:oMath>
      <w:r>
        <w:t xml:space="preserve"> </w:t>
      </w:r>
      <w:r>
        <w:t xml:space="preserve">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w:t>
      </w:r>
      <w:r>
        <w:rPr>
          <w:bCs/>
          <w:b/>
        </w:rPr>
        <w:t xml:space="preserve"> </w:t>
      </w:r>
      <m:oMath>
        <m:sSub>
          <m:e>
            <m:r>
              <m:rPr>
                <m:nor/>
                <m:sty m:val="p"/>
              </m:rPr>
              <m:t>DAI</m:t>
            </m:r>
          </m:e>
          <m:sub>
            <m:r>
              <m:t>z</m:t>
            </m:r>
          </m:sub>
        </m:sSub>
      </m:oMath>
      <w:r>
        <w:rPr>
          <w:bCs/>
          <w:b/>
        </w:rPr>
        <w:t xml:space="preserve"> </w:t>
      </w:r>
      <w:r>
        <w:rPr>
          <w:bCs/>
          <w:b/>
        </w:rPr>
        <w:t xml:space="preserve">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w:t>
      </w:r>
      <w:r>
        <w:t xml:space="preserve"> </w:t>
      </w:r>
      <m:oMath>
        <m:sSub>
          <m:e>
            <m:r>
              <m:rPr>
                <m:nor/>
                <m:sty m:val="p"/>
              </m:rPr>
              <m:t>DAI</m:t>
            </m:r>
          </m:e>
          <m:sub>
            <m:r>
              <m:t>z</m:t>
            </m:r>
          </m:sub>
        </m:sSub>
      </m:oMath>
      <w:r>
        <w:t xml:space="preserve"> </w:t>
      </w:r>
      <w:r>
        <w:t xml:space="preserve">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w:t>
      </w:r>
      <w:r>
        <w:t xml:space="preserve"> </w:t>
      </w:r>
      <m:oMath>
        <m:sSub>
          <m:e>
            <m:r>
              <m:rPr>
                <m:nor/>
                <m:sty m:val="p"/>
              </m:rPr>
              <m:t>DAI</m:t>
            </m:r>
          </m:e>
          <m:sub>
            <m:r>
              <m:t>z</m:t>
            </m:r>
          </m:sub>
        </m:sSub>
      </m:oMath>
      <w:r>
        <w:t xml:space="preserve"> </w:t>
      </w:r>
      <w:r>
        <w:t xml:space="preserve">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w:t>
      </w:r>
      <w:r>
        <w:t xml:space="preserve"> </w:t>
      </w:r>
      <m:oMath>
        <m:r>
          <m:rPr>
            <m:nor/>
            <m:sty m:val="p"/>
          </m:rPr>
          <m:t>DAI</m:t>
        </m:r>
        <m:r>
          <m:rPr>
            <m:sty m:val="p"/>
          </m:rPr>
          <m:t>×</m:t>
        </m:r>
        <m:r>
          <m:rPr>
            <m:nor/>
            <m:sty m:val="p"/>
          </m:rPr>
          <m:t>FSTS</m:t>
        </m:r>
      </m:oMath>
      <w:r>
        <w:t xml:space="preserve"> </w:t>
      </w:r>
      <w:r>
        <w:t xml:space="preserve">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w:t>
      </w:r>
      <m:oMath>
        <m:sSub>
          <m:e>
            <m:r>
              <m:rPr>
                <m:nor/>
                <m:sty m:val="p"/>
              </m:rPr>
              <m:t>DAI</m:t>
            </m:r>
          </m:e>
          <m:sub>
            <m:r>
              <m:t>z</m:t>
            </m:r>
          </m:sub>
        </m:sSub>
      </m:oMath>
      <w:r>
        <w:t xml:space="preserve">,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w:t>
      </w:r>
      <m:oMath>
        <m:sSub>
          <m:e>
            <m:r>
              <m:rPr>
                <m:nor/>
                <m:sty m:val="p"/>
              </m:rPr>
              <m:t>TCI</m:t>
            </m:r>
          </m:e>
          <m:sub>
            <m:r>
              <m:t>z</m:t>
            </m:r>
          </m:sub>
        </m:sSub>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w:t>
      </w:r>
      <w:r>
        <w:t xml:space="preserve"> </w:t>
      </w:r>
      <w:r>
        <w:t xml:space="preserve">(ln labour productivity)</w:t>
      </w:r>
      <w:r>
        <w:t xml:space="preserve"> </w:t>
      </w:r>
      <w:r>
        <w:t xml:space="preserve">H4 (mod., exploratory probe)</w:t>
      </w:r>
      <w:r>
        <w:t xml:space="preserve"> </w:t>
      </w:r>
      <m:oMath>
        <m:sSub>
          <m:e>
            <m:r>
              <m:rPr>
                <m:nor/>
                <m:sty m:val="p"/>
              </m:rPr>
              <m:t>DAI</m:t>
            </m:r>
          </m:e>
          <m:sub>
            <m:r>
              <m:t>z</m:t>
            </m:r>
          </m:sub>
        </m:sSub>
      </m:oMath>
      <w:r>
        <w:t xml:space="preserve"> </w:t>
      </w:r>
      <w:r>
        <w:t xml:space="preserve">(baseline control)</w:t>
      </w:r>
    </w:p>
    <w:p>
      <w:pPr>
        <w:pStyle w:val="BodyText"/>
      </w:pPr>
      <w:r>
        <w:t xml:space="preserve">Baseline website-presence</w:t>
      </w:r>
      <w:r>
        <w:t xml:space="preserve"> </w:t>
      </w:r>
      <w:r>
        <w:t xml:space="preserve">(</w:t>
      </w:r>
      <m:oMath>
        <m:sSub>
          <m:e>
            <m:r>
              <m:rPr>
                <m:nor/>
                <m:sty m:val="p"/>
              </m:rPr>
              <m:t>DAI</m:t>
            </m:r>
          </m:e>
          <m:sub>
            <m:r>
              <m:t>z</m:t>
            </m:r>
          </m:sub>
        </m:sSub>
      </m:oMath>
      <w:r>
        <w:t xml:space="preserve">,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is placed at left; the dependent variable, firm performance, measured as ln(labour productivity) = ln(annual revenue PPP / permanent workers), is placed at right, following left-to-right causal flow convention. H1 (inverted-U nonlinearity:</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is grounded in the Uppsala model (Johanson &amp; Vahlne, 1977, 2009) and coordination-cost theory (Hitt et al., 1997). H2 specifies technological capability (</w:t>
      </w:r>
      <m:oMath>
        <m:sSub>
          <m:e>
            <m:r>
              <m:rPr>
                <m:nor/>
                <m:sty m:val="p"/>
              </m:rPr>
              <m:t>TCI</m:t>
            </m:r>
          </m:e>
          <m:sub>
            <m:r>
              <m:t>z</m:t>
            </m:r>
          </m:sub>
        </m:sSub>
      </m:oMath>
      <w:r>
        <w:t xml:space="preserve">, Resource-Based View: Barney, 1991) as a level-shifting direct effect and secondary moderator on the FSTS–performance curve; instrument: industry-level TCI mean (causal IV identification). H4 treats website-based digital adoption (</w:t>
      </w:r>
      <m:oMath>
        <m:sSub>
          <m:e>
            <m:r>
              <m:rPr>
                <m:nor/>
                <m:sty m:val="p"/>
              </m:rPr>
              <m:t>DAI</m:t>
            </m:r>
          </m:e>
          <m:sub>
            <m:r>
              <m:t>z</m:t>
            </m:r>
          </m:sub>
        </m:sSub>
      </m:oMath>
      <w:r>
        <w:t xml:space="preserve">,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w:t>
      </w:r>
      <w:r>
        <w:t xml:space="preserve"> </w:t>
      </w:r>
      <m:oMath>
        <m:r>
          <m:rPr>
            <m:sty m:val="p"/>
          </m:rPr>
          <m:t>≈</m:t>
        </m:r>
      </m:oMath>
      <w:r>
        <w:t xml:space="preserve"> </w:t>
      </w:r>
      <w:r>
        <w:t xml:space="preserve">−0.09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primary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w:t>
      </w:r>
      <m:oMath>
        <m:r>
          <m:t>β</m:t>
        </m:r>
      </m:oMath>
      <w:r>
        <w:t xml:space="preserve"> </w:t>
      </w:r>
      <w:r>
        <w:t xml:space="preserve">= 1.045, p = .015) and a negative quadratic term (</w:t>
      </w:r>
      <m:oMath>
        <m:r>
          <m:t>β</m:t>
        </m:r>
      </m:oMath>
      <w:r>
        <w:t xml:space="preserve"> </w:t>
      </w:r>
      <w:r>
        <w:t xml:space="preserve">=</w:t>
      </w:r>
      <w:r>
        <w:t xml:space="preserve"> </w:t>
      </w:r>
      <w:r>
        <w:t xml:space="preserve">-1.774, p = .009); the Lind–Mehlum test rejects monotonicity at p = .006. In the dual-direct</w:t>
      </w:r>
      <w:r>
        <w:t xml:space="preserve"> </w:t>
      </w:r>
      <w:r>
        <w:t xml:space="preserve">specification (M7) both</w:t>
      </w:r>
      <w:r>
        <w:t xml:space="preserve"> </w:t>
      </w:r>
      <m:oMath>
        <m:sSub>
          <m:e>
            <m:r>
              <m:rPr>
                <m:nor/>
                <m:sty m:val="p"/>
              </m:rPr>
              <m:t>TCI</m:t>
            </m:r>
          </m:e>
          <m:sub>
            <m:r>
              <m:t>z</m:t>
            </m:r>
          </m:sub>
        </m:sSub>
      </m:oMath>
      <w:r>
        <w:t xml:space="preserve"> </w:t>
      </w:r>
      <w:r>
        <w:t xml:space="preserve">(</w:t>
      </w:r>
      <m:oMath>
        <m:r>
          <m:t>β</m:t>
        </m:r>
      </m:oMath>
      <w:r>
        <w:t xml:space="preserve"> </w:t>
      </w:r>
      <w:r>
        <w:t xml:space="preserve">= 0.215, p &lt; .001) and</w:t>
      </w:r>
      <w:r>
        <w:t xml:space="preserve"> </w:t>
      </w:r>
      <m:oMath>
        <m:sSub>
          <m:e>
            <m:r>
              <m:rPr>
                <m:nor/>
                <m:sty m:val="p"/>
              </m:rPr>
              <m:t>DAI</m:t>
            </m:r>
          </m:e>
          <m:sub>
            <m:r>
              <m:t>z</m:t>
            </m:r>
          </m:sub>
        </m:sSub>
      </m:oMath>
      <w:r>
        <w:t xml:space="preserve"> </w:t>
      </w:r>
      <w:r>
        <w:t xml:space="preserve">(</w:t>
      </w:r>
      <m:oMath>
        <m:r>
          <m:t>β</m:t>
        </m:r>
      </m:oMath>
      <w:r>
        <w:t xml:space="preserve"> </w:t>
      </w:r>
      <w:r>
        <w:t xml:space="preserve">= 0.175, p &lt; .001) are</w:t>
      </w:r>
      <w:r>
        <w:t xml:space="preserve"> </w:t>
      </w:r>
      <w:r>
        <w:t xml:space="preserve">positive. TCI moderation is statistically distinguishable from zero (M3 joint p = .040;</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r>
        <w:t xml:space="preserve"> </w:t>
      </w:r>
      <m:oMath>
        <m:sSub>
          <m:e>
            <m:r>
              <m:rPr>
                <m:nor/>
                <m:sty m:val="p"/>
              </m:rPr>
              <m:t>FSTS</m:t>
            </m:r>
          </m:e>
          <m:sub>
            <m:r>
              <m:t>c</m:t>
            </m:r>
          </m:sub>
        </m:sSub>
      </m:oMath>
      <w:r>
        <w:t xml:space="preserve"> </w:t>
      </w:r>
      <m:oMath>
        <m:r>
          <m:t>β</m:t>
        </m:r>
      </m:oMath>
      <w:r>
        <w:t xml:space="preserve"> </w:t>
      </w:r>
      <w:r>
        <w:t xml:space="preserve">= 1.159 (p = .029) and</w:t>
      </w:r>
      <w:r>
        <w:t xml:space="preserve"> </w:t>
      </w:r>
      <m:oMath>
        <m:sSubSup>
          <m:e>
            <m:r>
              <m:rPr>
                <m:nor/>
                <m:sty m:val="p"/>
              </m:rPr>
              <m:t>FSTS</m:t>
            </m:r>
          </m:e>
          <m:sub>
            <m:r>
              <m:t>c</m:t>
            </m:r>
          </m:sub>
          <m:sup>
            <m:r>
              <m:t>2</m:t>
            </m:r>
          </m:sup>
        </m:sSubSup>
      </m:oMath>
      <w:r>
        <w:t xml:space="preserve"> </w:t>
      </w:r>
      <m:oMath>
        <m:r>
          <m:t>β</m:t>
        </m:r>
      </m:oMath>
      <w:r>
        <w:t xml:space="preserve"> </w:t>
      </w:r>
      <w:r>
        <w:t xml:space="preserve">= -2.115 (p = .004), with Lind–Mehlum p = .009.</w:t>
      </w:r>
      <w:r>
        <w:t xml:space="preserve"> </w:t>
      </w:r>
      <m:oMath>
        <m:sSub>
          <m:e>
            <m:r>
              <m:rPr>
                <m:nor/>
                <m:sty m:val="p"/>
              </m:rPr>
              <m:t>TCI</m:t>
            </m:r>
          </m:e>
          <m:sub>
            <m:r>
              <m:t>z</m:t>
            </m:r>
          </m:sub>
        </m:sSub>
      </m:oMath>
      <w:r>
        <w:t xml:space="preserve"> </w:t>
      </w:r>
      <w:r>
        <w:t xml:space="preserve">retains a positive direct association (</w:t>
      </w:r>
      <m:oMath>
        <m:r>
          <m:t>β</m:t>
        </m:r>
      </m:oMath>
      <w:r>
        <w:t xml:space="preserve"> </w:t>
      </w:r>
      <w:r>
        <w:t xml:space="preserve">= 0.128, p = .010) but at roughly 60 per</w:t>
      </w:r>
      <w:r>
        <w:t xml:space="preserve"> </w:t>
      </w:r>
      <w:r>
        <w:t xml:space="preserve">cent of the 2009 magnitude.</w:t>
      </w:r>
      <w:r>
        <w:t xml:space="preserve"> </w:t>
      </w:r>
      <m:oMath>
        <m:sSub>
          <m:e>
            <m:r>
              <m:rPr>
                <m:nor/>
                <m:sty m:val="p"/>
              </m:rPr>
              <m:t>DAI</m:t>
            </m:r>
          </m:e>
          <m:sub>
            <m:r>
              <m:t>z</m:t>
            </m:r>
          </m:sub>
        </m:sSub>
      </m:oMath>
      <w:r>
        <w:t xml:space="preserve"> </w:t>
      </w:r>
      <w:r>
        <w:t xml:space="preserve">loses direct salience entirely (</w:t>
      </w:r>
      <m:oMath>
        <m:r>
          <m:t>β</m:t>
        </m:r>
      </m:oMath>
      <w:r>
        <w:t xml:space="preserve"> </w:t>
      </w:r>
      <w:r>
        <w:t xml:space="preserve">=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w:t>
      </w:r>
      <m:oMath>
        <m:sSub>
          <m:e>
            <m:r>
              <m:rPr>
                <m:nor/>
                <m:sty m:val="p"/>
              </m:rPr>
              <m:t>FSTS</m:t>
            </m:r>
          </m:e>
          <m:sub>
            <m:r>
              <m:t>c</m:t>
            </m:r>
          </m:sub>
        </m:sSub>
      </m:oMath>
      <w:r>
        <w:t xml:space="preserve"> </w:t>
      </w:r>
      <m:oMath>
        <m:r>
          <m:t>β</m:t>
        </m:r>
      </m:oMath>
      <w:r>
        <w:t xml:space="preserve"> </w:t>
      </w:r>
      <w:r>
        <w:t xml:space="preserve">= 0.962, p = .039;</w:t>
      </w:r>
      <w:r>
        <w:t xml:space="preserve"> </w:t>
      </w:r>
      <m:oMath>
        <m:sSubSup>
          <m:e>
            <m:r>
              <m:rPr>
                <m:nor/>
                <m:sty m:val="p"/>
              </m:rPr>
              <m:t>FSTS</m:t>
            </m:r>
          </m:e>
          <m:sub>
            <m:r>
              <m:t>c</m:t>
            </m:r>
          </m:sub>
          <m:sup>
            <m:r>
              <m:t>2</m:t>
            </m:r>
          </m:sup>
        </m:sSubSup>
      </m:oMath>
      <w:r>
        <w:t xml:space="preserve"> </w:t>
      </w:r>
      <m:oMath>
        <m:r>
          <m:t>β</m:t>
        </m:r>
      </m:oMath>
      <w:r>
        <w:t xml:space="preserve"> </w:t>
      </w:r>
      <w:r>
        <w:t xml:space="preserve">= -1.686, p = .008; Lind–Mehlum p = .013). In the dual-direct M7, both capability dimensions are positive and significant (</w:t>
      </w:r>
      <m:oMath>
        <m:sSub>
          <m:e>
            <m:r>
              <m:rPr>
                <m:nor/>
                <m:sty m:val="p"/>
              </m:rPr>
              <m:t>TCI</m:t>
            </m:r>
          </m:e>
          <m:sub>
            <m:r>
              <m:t>z</m:t>
            </m:r>
          </m:sub>
        </m:sSub>
      </m:oMath>
      <w:r>
        <w:t xml:space="preserve"> </w:t>
      </w:r>
      <m:oMath>
        <m:r>
          <m:t>β</m:t>
        </m:r>
      </m:oMath>
      <w:r>
        <w:t xml:space="preserve"> </w:t>
      </w:r>
      <w:r>
        <w:t xml:space="preserve">= 0.123, p = .006;</w:t>
      </w:r>
      <w:r>
        <w:t xml:space="preserve"> </w:t>
      </w:r>
      <m:oMath>
        <m:sSub>
          <m:e>
            <m:r>
              <m:rPr>
                <m:nor/>
                <m:sty m:val="p"/>
              </m:rPr>
              <m:t>DAI</m:t>
            </m:r>
          </m:e>
          <m:sub>
            <m:r>
              <m:t>z</m:t>
            </m:r>
          </m:sub>
        </m:sSub>
      </m:oMath>
      <w:r>
        <w:t xml:space="preserve"> </w:t>
      </w:r>
      <m:oMath>
        <m:r>
          <m:t>β</m:t>
        </m:r>
      </m:oMath>
      <w:r>
        <w:t xml:space="preserve"> </w:t>
      </w:r>
      <w:r>
        <w:t xml:space="preserve">= 0.095, p = .038). When the DAI interaction terms are added in M8, the linear interaction is negative and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 .043), the quadratic interaction is positive but does not reach conventional significance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w:t>
      </w:r>
      <m:oMath>
        <m:r>
          <m:t>β</m:t>
        </m:r>
      </m:oMath>
      <w:r>
        <w:t xml:space="preserve">=0.018, p=.942;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w:t>
      </w:r>
      <w:r>
        <w:t xml:space="preserve"> </w:t>
      </w:r>
      <m:oMath>
        <m:r>
          <m:rPr>
            <m:nor/>
            <m:sty m:val="p"/>
          </m:rPr>
          <m:t>DAI</m:t>
        </m:r>
        <m:r>
          <m:rPr>
            <m:sty m:val="p"/>
          </m:rPr>
          <m:t>×</m:t>
        </m:r>
        <m:r>
          <m:rPr>
            <m:nor/>
            <m:sty m:val="p"/>
          </m:rPr>
          <m:t>FSTS</m:t>
        </m:r>
      </m:oMath>
      <w:r>
        <w:t xml:space="preserve"> </w:t>
      </w:r>
      <w:r>
        <w:t xml:space="preserve">interaction without requiring that "digital adoption is bad", instead, the instrument has lost its discriminatory power as Tier 1 adoption has diffused to near-universal levels (49.8% in 2023 vs 42.5% in 2009). The</w:t>
      </w:r>
      <w:r>
        <w:t xml:space="preserve"> </w:t>
      </w:r>
      <m:oMath>
        <m:sSub>
          <m:e>
            <m:r>
              <m:rPr>
                <m:nor/>
                <m:sty m:val="p"/>
              </m:rPr>
              <m:t>DAI</m:t>
            </m:r>
          </m:e>
          <m:sub>
            <m:r>
              <m:t>r</m:t>
            </m:r>
          </m:sub>
        </m:sSub>
      </m:oMath>
      <w:r>
        <w:t xml:space="preserve">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sSub>
          <m:e>
            <m:r>
              <m:rPr>
                <m:nor/>
                <m:sty m:val="p"/>
              </m:rPr>
              <m:t>TCI</m:t>
            </m:r>
          </m:e>
          <m:sub>
            <m:r>
              <m:t>z</m:t>
            </m:r>
          </m:sub>
        </m:sSub>
      </m:oMath>
      <w:r>
        <w:t xml:space="preserve"> </w:t>
      </w:r>
      <w:r>
        <w:t xml:space="preserve">= 0.215 to 0.128 to 0.123) but with moderation</w:t>
      </w:r>
    </w:p>
    <w:p>
      <w:pPr>
        <w:pStyle w:val="BodyText"/>
      </w:pPr>
      <w:r>
        <w:t xml:space="preserve">that survives in the 2009, 2023 and pooled panels. Website-based digital presence follows a nonmonotonic trajectory, strong in 2009 (</w:t>
      </w:r>
      <m:oMath>
        <m:r>
          <m:t>β</m:t>
        </m:r>
      </m:oMath>
      <w:r>
        <w:t xml:space="preserve"> </w:t>
      </w:r>
      <w:r>
        <w:t xml:space="preserve">= 0.175 ***), null in 2015 (</w:t>
      </w:r>
      <m:oMath>
        <m:r>
          <m:t>β</m:t>
        </m:r>
      </m:oMath>
      <w:r>
        <w:t xml:space="preserve"> </w:t>
      </w:r>
      <w:r>
        <w:t xml:space="preserve">= -0.044 n.s.), and</w:t>
      </w:r>
      <w:r>
        <w:t xml:space="preserve"> </w:t>
      </w:r>
      <w:r>
        <w:t xml:space="preserve">re-emerging in 2023 (</w:t>
      </w:r>
      <m:oMath>
        <m:r>
          <m:t>β</m:t>
        </m:r>
      </m:oMath>
      <w:r>
        <w:t xml:space="preserve"> </w:t>
      </w:r>
      <w:r>
        <w:t xml:space="preserve">= 0.095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w:t>
      </w:r>
      <w:r>
        <w:t xml:space="preserve"> </w:t>
      </w:r>
      <m:oMath>
        <m:r>
          <m:rPr>
            <m:sty m:val="p"/>
          </m:rPr>
          <m:t>×</m:t>
        </m:r>
      </m:oMath>
      <w:r>
        <w:t xml:space="preserve"> </w:t>
      </w:r>
      <w:r>
        <w:t xml:space="preserve">focal interaction test (reported as Panel I in 4.5)</w:t>
      </w:r>
    </w:p>
    <w:p>
      <w:pPr>
        <w:pStyle w:val="BodyText"/>
      </w:pPr>
      <w:r>
        <w:t xml:space="preserve">suggests that only the DAI direct shifts are cross-wave-distinguishable; the FSTS curvature and</w:t>
      </w:r>
      <w:r>
        <w:t xml:space="preserve"> </w:t>
      </w:r>
      <w:r>
        <w:t xml:space="preserve">the</w:t>
      </w:r>
      <w:r>
        <w:t xml:space="preserve"> </w:t>
      </w:r>
      <m:oMath>
        <m:r>
          <m:rPr>
            <m:nor/>
            <m:sty m:val="p"/>
          </m:rPr>
          <m:t>FSTS</m:t>
        </m:r>
        <m:r>
          <m:rPr>
            <m:sty m:val="p"/>
          </m:rPr>
          <m:t>×</m:t>
        </m:r>
        <m:r>
          <m:rPr>
            <m:nor/>
            <m:sty m:val="p"/>
          </m:rPr>
          <m:t>DAI</m:t>
        </m:r>
      </m:oMath>
      <w:r>
        <w:t xml:space="preserve"> </w:t>
      </w:r>
      <w:r>
        <w:t xml:space="preserve">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w:t>
      </w:r>
      <m:oMath>
        <m:sSubSup>
          <m:e>
            <m:r>
              <m:rPr>
                <m:nor/>
                <m:sty m:val="p"/>
              </m:rPr>
              <m:t>FSTS</m:t>
            </m:r>
          </m:e>
          <m:sub>
            <m:r>
              <m:t>c</m:t>
            </m:r>
          </m:sub>
          <m:sup>
            <m:r>
              <m:t>2</m:t>
            </m:r>
          </m:sup>
        </m:sSubSup>
      </m:oMath>
      <w:r>
        <w:t xml:space="preserve"> </w:t>
      </w:r>
      <w:r>
        <w:t xml:space="preserve">= -2.115, p = .004 in M2) but the digital channel compresses entirely:</w:t>
      </w:r>
      <w:r>
        <w:t xml:space="preserve"> </w:t>
      </w:r>
      <m:oMath>
        <m:sSub>
          <m:e>
            <m:r>
              <m:rPr>
                <m:nor/>
                <m:sty m:val="p"/>
              </m:rPr>
              <m:t>DAI</m:t>
            </m:r>
          </m:e>
          <m:sub>
            <m:r>
              <m:t>z</m:t>
            </m:r>
          </m:sub>
        </m:sSub>
      </m:oMath>
      <w:r>
        <w:t xml:space="preserve"> </w:t>
      </w:r>
      <w:r>
        <w:t xml:space="preserve">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w:t>
      </w:r>
      <w:r>
        <w:t xml:space="preserve"> </w:t>
      </w:r>
      <m:oMath>
        <m:sSub>
          <m:e>
            <m:r>
              <m:rPr>
                <m:nor/>
                <m:sty m:val="p"/>
              </m:rPr>
              <m:t>FSTS</m:t>
            </m:r>
          </m:e>
          <m:sub>
            <m:r>
              <m:t>c</m:t>
            </m:r>
          </m:sub>
        </m:sSub>
      </m:oMath>
      <w:r>
        <w:t xml:space="preserve"> </w:t>
      </w:r>
      <w:r>
        <w:t xml:space="preserve">term is positive (</w:t>
      </w:r>
      <m:oMath>
        <m:r>
          <m:t>β</m:t>
        </m:r>
      </m:oMath>
      <w:r>
        <w:t xml:space="preserve"> </w:t>
      </w:r>
      <w:r>
        <w:t xml:space="preserve">= 0.984, p &lt; .001) and the quadratic</w:t>
      </w:r>
      <w:r>
        <w:t xml:space="preserve"> </w:t>
      </w:r>
      <m:oMath>
        <m:sSubSup>
          <m:e>
            <m:r>
              <m:rPr>
                <m:nor/>
                <m:sty m:val="p"/>
              </m:rPr>
              <m:t>FSTS</m:t>
            </m:r>
          </m:e>
          <m:sub>
            <m:r>
              <m:t>c</m:t>
            </m:r>
          </m:sub>
          <m:sup>
            <m:r>
              <m:t>2</m:t>
            </m:r>
          </m:sup>
        </m:sSubSup>
      </m:oMath>
      <w:r>
        <w:t xml:space="preserve"> </w:t>
      </w:r>
      <w:r>
        <w:t xml:space="preserve">term is negative (</w:t>
      </w:r>
      <m:oMath>
        <m:r>
          <m:t>β</m:t>
        </m:r>
      </m:oMath>
      <w:r>
        <w:t xml:space="preserve"> </w:t>
      </w:r>
      <w:r>
        <w:t xml:space="preserve">= -1.909, p &lt; .001); the Lind–Mehlum test rejects monotonicity at p &lt; .001 with an estimated turning point at 39.7 per cent of direct-export intensity. Following Haans, Pieters, and He (2016), all four formal conditions for a genuine inverted-U are met: (C1)</w:t>
      </w:r>
      <w:r>
        <w:t xml:space="preserve"> </w:t>
      </w:r>
      <m:oMath>
        <m:sSub>
          <m:e>
            <m:r>
              <m:t>β</m:t>
            </m:r>
          </m:e>
          <m:sub>
            <m:r>
              <m:t>1</m:t>
            </m:r>
          </m:sub>
        </m:sSub>
      </m:oMath>
      <w:r>
        <w:t xml:space="preserve"> </w:t>
      </w:r>
      <w:r>
        <w:t xml:space="preserve">= +0.984 (p &lt; .001), confirming a positive ascending limb; (C2)</w:t>
      </w:r>
      <w:r>
        <w:t xml:space="preserve"> </w:t>
      </w:r>
      <m:oMath>
        <m:sSub>
          <m:e>
            <m:r>
              <m:t>β</m:t>
            </m:r>
          </m:e>
          <m:sub>
            <m:r>
              <m:t>2</m:t>
            </m:r>
          </m:sub>
        </m:sSub>
      </m:oMath>
      <w:r>
        <w:t xml:space="preserve"> </w:t>
      </w:r>
      <w:r>
        <w:t xml:space="preserve">= −1.909 (p &lt; .001), confirming concavity; (C3) TP* = −</w:t>
      </w:r>
      <m:oMath>
        <m:sSub>
          <m:e>
            <m:r>
              <m:t>β</m:t>
            </m:r>
          </m:e>
          <m:sub>
            <m:r>
              <m:t>1</m:t>
            </m:r>
          </m:sub>
        </m:sSub>
      </m:oMath>
      <w:r>
        <w:t xml:space="preserve">/(2</w:t>
      </w:r>
      <m:oMath>
        <m:sSub>
          <m:e>
            <m:r>
              <m:t>β</m:t>
            </m:r>
          </m:e>
          <m:sub>
            <m:r>
              <m:t>2</m:t>
            </m:r>
          </m:sub>
        </m:sSub>
      </m:oMath>
      <w:r>
        <w:t xml:space="preserve">) = 39.7% falls within the observed FSTS range [0%, 100%]; and (C4) the predicted marginal return of internationalisation is positive at the lower data bound (FSTS = 0%, slope</w:t>
      </w:r>
      <w:r>
        <w:t xml:space="preserve"> </w:t>
      </w:r>
      <m:oMath>
        <m:r>
          <m:rPr>
            <m:sty m:val="p"/>
          </m:rPr>
          <m:t>≈</m:t>
        </m:r>
      </m:oMath>
      <w:r>
        <w:t xml:space="preserve"> </w:t>
      </w:r>
      <w:r>
        <w:t xml:space="preserve">+1.52) and negative at the upper data bound (FSTS = 100%, slope</w:t>
      </w:r>
      <w:r>
        <w:t xml:space="preserve"> </w:t>
      </w:r>
      <m:oMath>
        <m:r>
          <m:rPr>
            <m:sty m:val="p"/>
          </m:rPr>
          <m:t>≈</m:t>
        </m:r>
      </m:oMath>
      <w:r>
        <w:t xml:space="preserve"> </w:t>
      </w:r>
      <w:r>
        <w:t xml:space="preserve">−2.30), with opposite signs confirmed by the Lind–Mehlum (2010) u-test (p &lt; .001 binding). The curvature persists in the full M8 specification (</w:t>
      </w:r>
      <m:oMath>
        <m:sSub>
          <m:e>
            <m:r>
              <m:rPr>
                <m:nor/>
                <m:sty m:val="p"/>
              </m:rPr>
              <m:t>FSTS</m:t>
            </m:r>
          </m:e>
          <m:sub>
            <m:r>
              <m:t>c</m:t>
            </m:r>
          </m:sub>
        </m:sSub>
      </m:oMath>
      <w:r>
        <w:t xml:space="preserve"> </w:t>
      </w:r>
      <m:oMath>
        <m:r>
          <m:t>β</m:t>
        </m:r>
      </m:oMath>
      <w:r>
        <w:t xml:space="preserve"> </w:t>
      </w:r>
      <w:r>
        <w:t xml:space="preserve">= 0.845, p = .006;</w:t>
      </w:r>
      <w:r>
        <w:t xml:space="preserve"> </w:t>
      </w:r>
      <m:oMath>
        <m:sSubSup>
          <m:e>
            <m:r>
              <m:rPr>
                <m:nor/>
                <m:sty m:val="p"/>
              </m:rPr>
              <m:t>FSTS</m:t>
            </m:r>
          </m:e>
          <m:sub>
            <m:r>
              <m:t>c</m:t>
            </m:r>
          </m:sub>
          <m:sup>
            <m:r>
              <m:t>2</m:t>
            </m:r>
          </m:sup>
        </m:sSubSup>
      </m:oMath>
      <w:r>
        <w:t xml:space="preserve"> </w:t>
      </w:r>
      <m:oMath>
        <m:r>
          <m:t>β</m:t>
        </m:r>
      </m:oMath>
      <w:r>
        <w:t xml:space="preserve"> </w:t>
      </w:r>
      <w:r>
        <w:t xml:space="preserve">=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w:t>
      </w:r>
      <w:r>
        <w:t xml:space="preserve"> </w:t>
      </w:r>
      <m:oMath>
        <m:sSub>
          <m:e>
            <m:r>
              <m:t>β</m:t>
            </m:r>
          </m:e>
          <m:sub>
            <m:r>
              <m:t>1</m:t>
            </m:r>
          </m:sub>
        </m:sSub>
      </m:oMath>
      <w:r>
        <w:t xml:space="preserve"> </w:t>
      </w:r>
      <w:r>
        <w:t xml:space="preserve">+ 2</w:t>
      </w:r>
      <m:oMath>
        <m:sSub>
          <m:e>
            <m:r>
              <m:t>β</m:t>
            </m:r>
          </m:e>
          <m:sub>
            <m:r>
              <m:t>2</m:t>
            </m:r>
          </m:sub>
        </m:sSub>
      </m:oMath>
      <w:r>
        <w:t xml:space="preserve"> </w:t>
      </w:r>
      <m:oMath>
        <m:r>
          <m:rPr>
            <m:sty m:val="p"/>
          </m:rPr>
          <m:t>×</m:t>
        </m:r>
      </m:oMath>
      <w:r>
        <w:t xml:space="preserve"> </w:t>
      </w:r>
      <w:r>
        <w:t xml:space="preserve">(FSTS − mean_FSTS) where</w:t>
      </w:r>
      <w:r>
        <w:t xml:space="preserve"> </w:t>
      </w:r>
      <m:oMath>
        <m:sSub>
          <m:e>
            <m:r>
              <m:t>β</m:t>
            </m:r>
          </m:e>
          <m:sub>
            <m:r>
              <m:t>1</m:t>
            </m:r>
          </m:sub>
        </m:sSub>
      </m:oMath>
      <w:r>
        <w:t xml:space="preserve"> </w:t>
      </w:r>
      <w:r>
        <w:t xml:space="preserve">= 0.984,</w:t>
      </w:r>
      <w:r>
        <w:t xml:space="preserve"> </w:t>
      </w:r>
      <m:oMath>
        <m:sSub>
          <m:e>
            <m:r>
              <m:t>β</m:t>
            </m:r>
          </m:e>
          <m:sub>
            <m:r>
              <m:t>2</m:t>
            </m:r>
          </m:sub>
        </m:sSub>
      </m:oMath>
      <w:r>
        <w:t xml:space="preserve"> </w:t>
      </w:r>
      <w:r>
        <w:t xml:space="preserve">= −1.909, mean_FSTS</w:t>
      </w:r>
      <w:r>
        <w:t xml:space="preserve"> </w:t>
      </w:r>
      <m:oMath>
        <m:r>
          <m:rPr>
            <m:sty m:val="p"/>
          </m:rPr>
          <m:t>≈</m:t>
        </m:r>
      </m:oMath>
      <w:r>
        <w:t xml:space="preserve"> </w:t>
      </w:r>
      <w:r>
        <w:t xml:space="preserve">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w:t>
      </w:r>
      <w:r>
        <w:t xml:space="preserve"> </w:t>
      </w:r>
      <m:oMath>
        <m:sSub>
          <m:e>
            <m:r>
              <m:rPr>
                <m:nor/>
                <m:sty m:val="p"/>
              </m:rPr>
              <m:t>TCI</m:t>
            </m:r>
          </m:e>
          <m:sub>
            <m:r>
              <m:t>z</m:t>
            </m:r>
          </m:sub>
        </m:sSub>
      </m:oMath>
      <w:r>
        <w:t xml:space="preserve"> </w:t>
      </w:r>
      <w:r>
        <w:t xml:space="preserve">is positive (</w:t>
      </w:r>
      <m:oMath>
        <m:r>
          <m:t>β</m:t>
        </m:r>
      </m:oMath>
      <w:r>
        <w:t xml:space="preserve"> </w:t>
      </w:r>
      <w:r>
        <w:t xml:space="preserve">= 0.179, p &lt; .001), and</w:t>
      </w:r>
      <w:r>
        <w:t xml:space="preserve"> </w:t>
      </w:r>
      <m:oMath>
        <m:sSub>
          <m:e>
            <m:r>
              <m:rPr>
                <m:nor/>
                <m:sty m:val="p"/>
              </m:rPr>
              <m:t>DAI</m:t>
            </m:r>
          </m:e>
          <m:sub>
            <m:r>
              <m:t>z</m:t>
            </m:r>
          </m:sub>
        </m:sSub>
      </m:oMath>
      <w:r>
        <w:t xml:space="preserve"> </w:t>
      </w:r>
      <w:r>
        <w:t xml:space="preserve">is positive and significant (</w:t>
      </w:r>
      <m:oMath>
        <m:r>
          <m:t>β</m:t>
        </m:r>
      </m:oMath>
      <w:r>
        <w:t xml:space="preserve"> </w:t>
      </w:r>
      <w:r>
        <w:t xml:space="preserve">= 0.078, p = .004). In the full M8 specification, the</w:t>
      </w:r>
      <w:r>
        <w:t xml:space="preserve"> </w:t>
      </w:r>
      <m:oMath>
        <m:sSub>
          <m:e>
            <m:r>
              <m:rPr>
                <m:nor/>
                <m:sty m:val="p"/>
              </m:rPr>
              <m:t>TCI</m:t>
            </m:r>
          </m:e>
          <m:sub>
            <m:r>
              <m:t>z</m:t>
            </m:r>
          </m:sub>
        </m:sSub>
      </m:oMath>
      <w:r>
        <w:t xml:space="preserve"> </w:t>
      </w:r>
      <w:r>
        <w:t xml:space="preserve">coefficient is essentially unchanged (</w:t>
      </w:r>
      <m:oMath>
        <m:r>
          <m:t>β</m:t>
        </m:r>
      </m:oMath>
      <w:r>
        <w:t xml:space="preserve"> </w:t>
      </w:r>
      <w:r>
        <w:t xml:space="preserve">= 0.184, p &lt; .001), while the</w:t>
      </w:r>
      <w:r>
        <w:t xml:space="preserve"> </w:t>
      </w:r>
      <m:oMath>
        <m:sSub>
          <m:e>
            <m:r>
              <m:rPr>
                <m:nor/>
                <m:sty m:val="p"/>
              </m:rPr>
              <m:t>DAI</m:t>
            </m:r>
          </m:e>
          <m:sub>
            <m:r>
              <m:t>z</m:t>
            </m:r>
          </m:sub>
        </m:sSub>
      </m:oMath>
      <w:r>
        <w:t xml:space="preserve"> </w:t>
      </w:r>
      <w:r>
        <w:t xml:space="preserve">direct coefficient becomes statistically indistinguishable from zero (</w:t>
      </w:r>
      <m:oMath>
        <m:r>
          <m:t>β</m:t>
        </m:r>
      </m:oMath>
      <w:r>
        <w:t xml:space="preserve"> </w:t>
      </w:r>
      <w:r>
        <w:t xml:space="preserve">= 0.032, p = .537) once the interaction terms are entered.</w:t>
      </w:r>
      <w:r>
        <w:t xml:space="preserve"> </w:t>
      </w:r>
      <w:r>
        <w:t xml:space="preserve">This sensitivity is consistent with the interpretation that</w:t>
      </w:r>
      <w:r>
        <w:t xml:space="preserve"> </w:t>
      </w:r>
      <m:oMath>
        <m:sSub>
          <m:e>
            <m:r>
              <m:rPr>
                <m:nor/>
                <m:sty m:val="p"/>
              </m:rPr>
              <m:t>DAI</m:t>
            </m:r>
          </m:e>
          <m:sub>
            <m:r>
              <m:t>z</m:t>
            </m:r>
          </m:sub>
        </m:sSub>
      </m:oMath>
      <w:r>
        <w:t xml:space="preserve"> </w:t>
      </w:r>
      <w:r>
        <w:t xml:space="preserve">combines a positive level effect</w:t>
      </w:r>
      <w:r>
        <w:t xml:space="preserve"> </w:t>
      </w:r>
      <w:r>
        <w:t xml:space="preserve">with a negative interaction with</w:t>
      </w:r>
      <w:r>
        <w:t xml:space="preserve"> </w:t>
      </w:r>
      <m:oMath>
        <m:sSub>
          <m:e>
            <m:r>
              <m:rPr>
                <m:nor/>
                <m:sty m:val="p"/>
              </m:rPr>
              <m:t>FSTS</m:t>
            </m:r>
          </m:e>
          <m:sub>
            <m:r>
              <m:t>c</m:t>
            </m:r>
          </m:sub>
        </m:sSub>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sSub>
          <m:e>
            <m:r>
              <m:rPr>
                <m:nor/>
                <m:sty m:val="p"/>
              </m:rPr>
              <m:t>DAI</m:t>
            </m:r>
          </m:e>
          <m:sub>
            <m:r>
              <m:t>z</m:t>
            </m:r>
          </m:sub>
        </m:sSub>
      </m:oMath>
      <w:r>
        <w:t xml:space="preserve"> </w:t>
      </w:r>
      <w:r>
        <w:t xml:space="preserve">carry a marginal joint signal. The linear interaction is negative but not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-0.448, p = .116), and the quadratic interaction is positive but not significant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is statistically distinguishable from zero in three of four panels (2009 p = .040, 2023 p = .027, pooled p = .003) and null only in 2015 (p = .713). Pooled, the linear interaction is negative (</w:t>
      </w:r>
      <m:oMath>
        <m:sSub>
          <m:e>
            <m:r>
              <m:rPr>
                <m:nor/>
                <m:sty m:val="p"/>
              </m:rPr>
              <m:t>FSTS</m:t>
            </m:r>
          </m:e>
          <m:sub>
            <m:r>
              <m:t>c</m:t>
            </m:r>
          </m:sub>
        </m:sSub>
        <m:r>
          <m:rPr>
            <m:sty m:val="p"/>
          </m:rPr>
          <m:t>×</m:t>
        </m:r>
        <m:sSub>
          <m:e>
            <m:r>
              <m:rPr>
                <m:nor/>
                <m:sty m:val="p"/>
              </m:rPr>
              <m:t>TCI</m:t>
            </m:r>
          </m:e>
          <m:sub>
            <m:r>
              <m:t>z</m:t>
            </m:r>
          </m:sub>
        </m:sSub>
      </m:oMath>
      <w:r>
        <w:t xml:space="preserve"> </w:t>
      </w:r>
      <w:r>
        <w:t xml:space="preserve">= -0.587, p = .003) and the quadratic is positive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w:t>
      </w:r>
      <w:r>
        <w:t xml:space="preserve"> </w:t>
      </w:r>
      <m:oMath>
        <m:r>
          <m:rPr>
            <m:sty m:val="p"/>
          </m:rPr>
          <m:t>≈</m:t>
        </m:r>
      </m:oMath>
      <w:r>
        <w:t xml:space="preserve"> </w:t>
      </w:r>
      <w:r>
        <w:t xml:space="preserve">46% FSTS (Lind-Mehlum p = .006).</w:t>
      </w:r>
    </w:p>
    <w:p>
      <w:pPr>
        <w:pStyle w:val="BodyText"/>
      </w:pPr>
      <w:r>
        <w:drawing>
          <wp:inline>
            <wp:extent cx="5753100" cy="3835399"/>
            <wp:effectExtent b="0" l="0" r="0" t="0"/>
            <wp:docPr descr="Figure 2b: Wave 2015,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w:t>
      </w:r>
      <w:r>
        <w:t xml:space="preserve"> </w:t>
      </w:r>
      <m:oMath>
        <m:r>
          <m:rPr>
            <m:sty m:val="p"/>
          </m:rPr>
          <m:t>≈</m:t>
        </m:r>
      </m:oMath>
      <w:r>
        <w:t xml:space="preserve"> </w:t>
      </w:r>
      <w:r>
        <w:t xml:space="preserve">39% FSTS (Lind-Mehlum p = .009).</w:t>
      </w:r>
    </w:p>
    <w:p>
      <w:pPr>
        <w:pStyle w:val="BodyText"/>
      </w:pPr>
      <w:r>
        <w:drawing>
          <wp:inline>
            <wp:extent cx="5753100" cy="3835399"/>
            <wp:effectExtent b="0" l="0" r="0" t="0"/>
            <wp:docPr descr="Figure 2c: Wave 2023,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w:t>
      </w:r>
      <w:r>
        <w:t xml:space="preserve"> </w:t>
      </w:r>
      <m:oMath>
        <m:r>
          <m:rPr>
            <m:sty m:val="p"/>
          </m:rPr>
          <m:t>≈</m:t>
        </m:r>
      </m:oMath>
      <w:r>
        <w:t xml:space="preserve"> </w:t>
      </w:r>
      <w:r>
        <w:t xml:space="preserve">42% FSTS (Lind-Mehlum p = .013).</w:t>
      </w:r>
    </w:p>
    <w:p>
      <w:pPr>
        <w:pStyle w:val="BodyText"/>
      </w:pPr>
      <w:r>
        <w:drawing>
          <wp:inline>
            <wp:extent cx="5753100" cy="3835399"/>
            <wp:effectExtent b="0" l="0" r="0" t="0"/>
            <wp:docPr descr="Figure 2d: Pooled (2009+2015+2023),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w:t>
      </w:r>
      <w:r>
        <w:t xml:space="preserve"> </w:t>
      </w:r>
      <m:oMath>
        <m:r>
          <m:rPr>
            <m:sty m:val="p"/>
          </m:rPr>
          <m:t>≈</m:t>
        </m:r>
      </m:oMath>
      <w:r>
        <w:t xml:space="preserve"> </w:t>
      </w:r>
      <w:r>
        <w:t xml:space="preserve">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w:t>
      </w:r>
      <w:r>
        <w:t xml:space="preserve"> </w:t>
      </w:r>
      <m:oMath>
        <m:sSub>
          <m:e>
            <m:r>
              <m:rPr>
                <m:nor/>
                <m:sty m:val="p"/>
              </m:rPr>
              <m:t>TCI</m:t>
            </m:r>
          </m:e>
          <m:sub>
            <m:r>
              <m:t>z</m:t>
            </m:r>
          </m:sub>
        </m:sSub>
      </m:oMath>
      <w:r>
        <w:t xml:space="preserve"> </w:t>
      </w:r>
      <w:r>
        <w:t xml:space="preserve">direct coefficient (pooled</w:t>
      </w:r>
      <w:r>
        <w:t xml:space="preserve"> </w:t>
      </w:r>
      <m:oMath>
        <m:r>
          <m:t>β</m:t>
        </m:r>
      </m:oMath>
      <w:r>
        <w:t xml:space="preserve"> </w:t>
      </w:r>
      <w:r>
        <w:t xml:space="preserve">= 0.179, p &lt; .001) is statistically significant in all three wave-specific periods (2009 p &lt; .001; 2015 p = .010; 2023 p = .006), and statistically distinguishable TCI moderation appears in three of four panels (M3 joint p = .040, .713, .027 and .003). The baseline</w:t>
      </w:r>
      <w:r>
        <w:t xml:space="preserve"> </w:t>
      </w:r>
      <m:oMath>
        <m:sSub>
          <m:e>
            <m:r>
              <m:rPr>
                <m:nor/>
                <m:sty m:val="p"/>
              </m:rPr>
              <m:t>DAI</m:t>
            </m:r>
          </m:e>
          <m:sub>
            <m:r>
              <m:t>z</m:t>
            </m:r>
          </m:sub>
        </m:sSub>
      </m:oMath>
      <w:r>
        <w:t xml:space="preserve"> </w:t>
      </w:r>
      <w:r>
        <w:t xml:space="preserve">control reports a positive pooled level association (</w:t>
      </w:r>
      <m:oMath>
        <m:r>
          <m:t>β</m:t>
        </m:r>
      </m:oMath>
      <w:r>
        <w:t xml:space="preserve"> </w:t>
      </w:r>
      <w:r>
        <w:t xml:space="preserve">= 0.078, p = .004) but with substantial wave-to-wave variability, strong in 2009 (</w:t>
      </w:r>
      <m:oMath>
        <m:r>
          <m:t>β</m:t>
        </m:r>
      </m:oMath>
      <w:r>
        <w:t xml:space="preserve"> </w:t>
      </w:r>
      <w:r>
        <w:t xml:space="preserve">= 0.175, p &lt; .001), null in 2015 (</w:t>
      </w:r>
      <m:oMath>
        <m:r>
          <m:t>β</m:t>
        </m:r>
      </m:oMath>
      <w:r>
        <w:t xml:space="preserve"> </w:t>
      </w:r>
      <w:r>
        <w:t xml:space="preserve">= -0.044, p = .377), and re-emerging in 2023 (</w:t>
      </w:r>
      <m:oMath>
        <m:r>
          <m:t>β</m:t>
        </m:r>
      </m:oMath>
      <w:r>
        <w:t xml:space="preserve"> </w:t>
      </w:r>
      <w:r>
        <w:t xml:space="preserve">= 0.095, p = .038). Because</w:t>
      </w:r>
      <w:r>
        <w:t xml:space="preserve"> </w:t>
      </w:r>
      <m:oMath>
        <m:sSub>
          <m:e>
            <m:r>
              <m:rPr>
                <m:nor/>
                <m:sty m:val="p"/>
              </m:rPr>
              <m:t>DAI</m:t>
            </m:r>
          </m:e>
          <m:sub>
            <m:r>
              <m:t>z</m:t>
            </m:r>
          </m:sub>
        </m:sSub>
      </m:oMath>
      <w:r>
        <w:t xml:space="preserve"> </w:t>
      </w:r>
      <w:r>
        <w:t xml:space="preserve">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w:t>
      </w:r>
      <w:r>
        <w:t xml:space="preserve"> </w:t>
      </w:r>
      <m:oMath>
        <m:r>
          <m:rPr>
            <m:sty m:val="p"/>
          </m:rPr>
          <m:t>×</m:t>
        </m:r>
      </m:oMath>
      <w:r>
        <w:t xml:space="preserve"> </w:t>
      </w:r>
      <w:r>
        <w:t xml:space="preserve">focal interaction test (Panel I)</w:t>
      </w:r>
      <w:r>
        <w:t xml:space="preserve"> </w:t>
      </w:r>
      <w:r>
        <w:t xml:space="preserve">does not detect cross-wave differences in the</w:t>
      </w:r>
      <w:r>
        <w:t xml:space="preserve"> </w:t>
      </w:r>
      <m:oMath>
        <m:r>
          <m:rPr>
            <m:nor/>
            <m:sty m:val="p"/>
          </m:rPr>
          <m:t>FSTS</m:t>
        </m:r>
        <m:r>
          <m:rPr>
            <m:sty m:val="p"/>
          </m:rPr>
          <m:t>×</m:t>
        </m:r>
        <m:r>
          <m:rPr>
            <m:nor/>
            <m:sty m:val="p"/>
          </m:rPr>
          <m:t>DAI</m:t>
        </m:r>
      </m:oMath>
      <w:r>
        <w:t xml:space="preserve"> </w:t>
      </w:r>
      <w:r>
        <w:t xml:space="preserve">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w:t>
      </w:r>
      <w:r>
        <w:t xml:space="preserve"> </w:t>
      </w:r>
      <m:oMath>
        <m:r>
          <m:rPr>
            <m:nor/>
            <m:sty m:val="p"/>
          </m:rPr>
          <m:t>FSTS</m:t>
        </m:r>
        <m:r>
          <m:rPr>
            <m:sty m:val="p"/>
          </m:rPr>
          <m:t>×</m:t>
        </m:r>
        <m:r>
          <m:rPr>
            <m:nor/>
            <m:sty m:val="p"/>
          </m:rPr>
          <m:t>DAI</m:t>
        </m:r>
      </m:oMath>
      <w:r>
        <w:t xml:space="preserve"> </w:t>
      </w:r>
      <w:r>
        <w:t xml:space="preserve">interaction is significant while</w:t>
      </w:r>
      <w:r>
        <w:t xml:space="preserve"> </w:t>
      </w:r>
      <m:oMath>
        <m:sSup>
          <m:e>
            <m:r>
              <m:rPr>
                <m:nor/>
                <m:sty m:val="p"/>
              </m:rPr>
              <m:t>FSTS</m:t>
            </m:r>
          </m:e>
          <m:sup>
            <m:r>
              <m:t>2</m:t>
            </m:r>
          </m:sup>
        </m:sSup>
        <m:r>
          <m:rPr>
            <m:sty m:val="p"/>
          </m:rPr>
          <m:t>×</m:t>
        </m:r>
        <m:r>
          <m:rPr>
            <m:nor/>
            <m:sty m:val="p"/>
          </m:rPr>
          <m:t>DAI</m:t>
        </m:r>
      </m:oMath>
      <w:r>
        <w:t xml:space="preserve"> </w:t>
      </w:r>
      <w:r>
        <w:t xml:space="preserve">is not): the moderator shifts the position of the turning point but preserves the inverted-U shape. Type II moderation flips the shape of the curve (i.e.,</w:t>
      </w:r>
      <w:r>
        <w:t xml:space="preserve"> </w:t>
      </w:r>
      <m:oMath>
        <m:sSup>
          <m:e>
            <m:r>
              <m:rPr>
                <m:nor/>
                <m:sty m:val="p"/>
              </m:rPr>
              <m:t>FSTS</m:t>
            </m:r>
          </m:e>
          <m:sup>
            <m:r>
              <m:t>2</m:t>
            </m:r>
          </m:sup>
        </m:sSup>
        <m:r>
          <m:rPr>
            <m:sty m:val="p"/>
          </m:rPr>
          <m:t>×</m:t>
        </m:r>
        <m:r>
          <m:rPr>
            <m:nor/>
            <m:sty m:val="p"/>
          </m:rPr>
          <m:t>DAI</m:t>
        </m:r>
      </m:oMath>
      <w:r>
        <w:t xml:space="preserve"> </w:t>
      </w:r>
      <w:r>
        <w:t xml:space="preserve">is significant): high versus low moderator values produce qualitatively different functional forms. The 2023 DAI evidence fits Type I: the significant linear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 .043) indicates that digital adoption attenuates the positive slope at low export intensity, pulling the turning point inward, while the</w:t>
      </w:r>
      <w:r>
        <w:t xml:space="preserve"> </w:t>
      </w:r>
      <m:oMath>
        <m:sSup>
          <m:e>
            <m:r>
              <m:rPr>
                <m:nor/>
                <m:sty m:val="p"/>
              </m:rPr>
              <m:t>FSTS</m:t>
            </m:r>
          </m:e>
          <m:sup>
            <m:r>
              <m:t>2</m:t>
            </m:r>
          </m:sup>
        </m:sSup>
        <m:r>
          <m:rPr>
            <m:sty m:val="p"/>
          </m:rPr>
          <m:t>×</m:t>
        </m:r>
        <m:r>
          <m:rPr>
            <m:nor/>
            <m:sty m:val="p"/>
          </m:rPr>
          <m:t>DAI</m:t>
        </m:r>
      </m:oMath>
      <w:r>
        <w:t xml:space="preserve"> </w:t>
      </w:r>
      <w:r>
        <w:t xml:space="preserve">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401293"/>
            <wp:effectExtent b="0" l="0" r="0" t="0"/>
            <wp:docPr descr="Figure 3: Moderator marginal effects,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9aa65c43a9adaf86b36bbe99dfc3f5e71def80c"/>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w:t>
      </w:r>
      <w:r>
        <w:t xml:space="preserve"> </w:t>
      </w:r>
      <m:oMath>
        <m:r>
          <m:rPr>
            <m:sty m:val="p"/>
          </m:rPr>
          <m:t>±</m:t>
        </m:r>
      </m:oMath>
      <w:r>
        <w:t xml:space="preserve">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 .001)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primary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w:t>
      </w:r>
      <m:oMath>
        <m:sSub>
          <m:e>
            <m:r>
              <m:rPr>
                <m:nor/>
                <m:sty m:val="p"/>
              </m:rPr>
              <m:t>FSTS</m:t>
            </m:r>
          </m:e>
          <m:sub>
            <m:r>
              <m:t>c</m:t>
            </m:r>
          </m:sub>
        </m:sSub>
      </m:oMath>
      <w:r>
        <w:t xml:space="preserve"> </w:t>
      </w:r>
      <m:oMath>
        <m:r>
          <m:t>β</m:t>
        </m:r>
      </m:oMath>
      <w:r>
        <w:t xml:space="preserve"> </w:t>
      </w:r>
      <w:r>
        <w:t xml:space="preserve">= 0.971, p = .001;</w:t>
      </w:r>
      <w:r>
        <w:t xml:space="preserve"> </w:t>
      </w:r>
      <m:oMath>
        <m:sSubSup>
          <m:e>
            <m:r>
              <m:rPr>
                <m:nor/>
                <m:sty m:val="p"/>
              </m:rPr>
              <m:t>FSTS</m:t>
            </m:r>
          </m:e>
          <m:sub>
            <m:r>
              <m:t>c</m:t>
            </m:r>
          </m:sub>
          <m:sup>
            <m:r>
              <m:t>2</m:t>
            </m:r>
          </m:sup>
        </m:sSubSup>
      </m:oMath>
      <w:r>
        <w:t xml:space="preserve"> </w:t>
      </w:r>
      <m:oMath>
        <m:r>
          <m:t>β</m:t>
        </m:r>
      </m:oMath>
      <w:r>
        <w:t xml:space="preserve"> </w:t>
      </w:r>
      <w:r>
        <w:t xml:space="preserve">= -1.883, p &lt; .001) than in non-manufacturing (</w:t>
      </w:r>
      <m:oMath>
        <m:sSub>
          <m:e>
            <m:r>
              <m:rPr>
                <m:nor/>
                <m:sty m:val="p"/>
              </m:rPr>
              <m:t>FSTS</m:t>
            </m:r>
          </m:e>
          <m:sub>
            <m:r>
              <m:t>c</m:t>
            </m:r>
          </m:sub>
        </m:sSub>
      </m:oMath>
      <w:r>
        <w:t xml:space="preserve"> </w:t>
      </w:r>
      <m:oMath>
        <m:r>
          <m:t>β</m:t>
        </m:r>
      </m:oMath>
      <w:r>
        <w:t xml:space="preserve"> </w:t>
      </w:r>
      <w:r>
        <w:t xml:space="preserve">= 1.615, p = .064, marginal;</w:t>
      </w:r>
      <w:r>
        <w:t xml:space="preserve"> </w:t>
      </w:r>
      <m:oMath>
        <m:sSubSup>
          <m:e>
            <m:r>
              <m:rPr>
                <m:nor/>
                <m:sty m:val="p"/>
              </m:rPr>
              <m:t>FSTS</m:t>
            </m:r>
          </m:e>
          <m:sub>
            <m:r>
              <m:t>c</m:t>
            </m:r>
          </m:sub>
          <m:sup>
            <m:r>
              <m:t>2</m:t>
            </m:r>
          </m:sup>
        </m:sSubSup>
      </m:oMath>
      <w:r>
        <w:t xml:space="preserve"> </w:t>
      </w:r>
      <m:oMath>
        <m:r>
          <m:t>β</m:t>
        </m:r>
      </m:oMath>
      <w:r>
        <w:t xml:space="preserve"> </w:t>
      </w:r>
      <w:r>
        <w:t xml:space="preserve">= -2.479, p = .046). More substantively, the capability and digital-adoption channels operate primarily in manufacturing. In the M7 dual-direct specification, manufacturing firms display a strong</w:t>
      </w:r>
      <w:r>
        <w:t xml:space="preserve"> </w:t>
      </w:r>
      <m:oMath>
        <m:sSub>
          <m:e>
            <m:r>
              <m:rPr>
                <m:nor/>
                <m:sty m:val="p"/>
              </m:rPr>
              <m:t>TCI</m:t>
            </m:r>
          </m:e>
          <m:sub>
            <m:r>
              <m:t>z</m:t>
            </m:r>
          </m:sub>
        </m:sSub>
      </m:oMath>
      <w:r>
        <w:t xml:space="preserve"> </w:t>
      </w:r>
      <w:r>
        <w:t xml:space="preserve">direct association (</w:t>
      </w:r>
      <m:oMath>
        <m:r>
          <m:t>β</m:t>
        </m:r>
      </m:oMath>
      <w:r>
        <w:t xml:space="preserve"> </w:t>
      </w:r>
      <w:r>
        <w:t xml:space="preserve">= 0.223, p &lt; .001) and a positive</w:t>
      </w:r>
      <w:r>
        <w:t xml:space="preserve"> </w:t>
      </w:r>
      <m:oMath>
        <m:sSub>
          <m:e>
            <m:r>
              <m:rPr>
                <m:nor/>
                <m:sty m:val="p"/>
              </m:rPr>
              <m:t>DAI</m:t>
            </m:r>
          </m:e>
          <m:sub>
            <m:r>
              <m:t>z</m:t>
            </m:r>
          </m:sub>
        </m:sSub>
      </m:oMath>
      <w:r>
        <w:t xml:space="preserve"> </w:t>
      </w:r>
      <w:r>
        <w:t xml:space="preserve">direct association (</w:t>
      </w:r>
      <m:oMath>
        <m:r>
          <m:t>β</m:t>
        </m:r>
      </m:oMath>
      <w:r>
        <w:t xml:space="preserve"> </w:t>
      </w:r>
      <w:r>
        <w:t xml:space="preserve">= 0.087,</w:t>
      </w:r>
      <w:r>
        <w:t xml:space="preserve"> </w:t>
      </w:r>
      <w:r>
        <w:t xml:space="preserve">p = .009), while non-manufacturing firms show only a marginal</w:t>
      </w:r>
      <w:r>
        <w:t xml:space="preserve"> </w:t>
      </w:r>
      <m:oMath>
        <m:sSub>
          <m:e>
            <m:r>
              <m:rPr>
                <m:nor/>
                <m:sty m:val="p"/>
              </m:rPr>
              <m:t>TCI</m:t>
            </m:r>
          </m:e>
          <m:sub>
            <m:r>
              <m:t>z</m:t>
            </m:r>
          </m:sub>
        </m:sSub>
      </m:oMath>
      <w:r>
        <w:t xml:space="preserve"> </w:t>
      </w:r>
      <w:r>
        <w:t xml:space="preserve">effect (</w:t>
      </w:r>
      <m:oMath>
        <m:r>
          <m:t>β</m:t>
        </m:r>
      </m:oMath>
      <w:r>
        <w:t xml:space="preserve"> </w:t>
      </w:r>
      <w:r>
        <w:t xml:space="preserve">= 0.090, p =</w:t>
      </w:r>
      <w:r>
        <w:t xml:space="preserve"> </w:t>
      </w:r>
      <w:r>
        <w:t xml:space="preserve">.096) and a null</w:t>
      </w:r>
      <w:r>
        <w:t xml:space="preserve"> </w:t>
      </w:r>
      <m:oMath>
        <m:sSub>
          <m:e>
            <m:r>
              <m:rPr>
                <m:nor/>
                <m:sty m:val="p"/>
              </m:rPr>
              <m:t>DAI</m:t>
            </m:r>
          </m:e>
          <m:sub>
            <m:r>
              <m:t>z</m:t>
            </m:r>
          </m:sub>
        </m:sSub>
      </m:oMath>
      <w:r>
        <w:t xml:space="preserve"> </w:t>
      </w:r>
      <w:r>
        <w:t xml:space="preserve">effect (</w:t>
      </w:r>
      <m:oMath>
        <m:r>
          <m:t>β</m:t>
        </m:r>
      </m:oMath>
      <w:r>
        <w:t xml:space="preserve"> </w:t>
      </w:r>
      <w:r>
        <w:t xml:space="preserve">= 0.068, p = .133). The DAI moderation channel is concentrated in manufacturing (M8 joint p = .103, marginal;</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w:t>
      </w:r>
      <w:r>
        <w:t xml:space="preserve"> </w:t>
      </w:r>
      <m:oMath>
        <m:r>
          <m:rPr>
            <m:sty m:val="p"/>
          </m:rPr>
          <m:t>≈</m:t>
        </m:r>
      </m:oMath>
      <w:r>
        <w:t xml:space="preserve"> </w:t>
      </w:r>
      <w:r>
        <w:t xml:space="preserve">281 in 2009, 198 in 2015, 190 in 2023, and 669 pooled). The</w:t>
      </w:r>
      <w:r>
        <w:t xml:space="preserve"> </w:t>
      </w:r>
      <w:r>
        <w:t xml:space="preserve">pooled exporter-only specification yields a negative linear</w:t>
      </w:r>
      <w:r>
        <w:t xml:space="preserve"> </w:t>
      </w:r>
      <m:oMath>
        <m:sSub>
          <m:e>
            <m:r>
              <m:rPr>
                <m:nor/>
                <m:sty m:val="p"/>
              </m:rPr>
              <m:t>FSTS</m:t>
            </m:r>
          </m:e>
          <m:sub>
            <m:r>
              <m:t>c</m:t>
            </m:r>
          </m:sub>
        </m:sSub>
      </m:oMath>
      <w:r>
        <w:t xml:space="preserve"> </w:t>
      </w:r>
      <w:r>
        <w:t xml:space="preserve">term (</w:t>
      </w:r>
      <m:oMath>
        <m:r>
          <m:t>β</m:t>
        </m:r>
      </m:oMath>
      <w:r>
        <w:t xml:space="preserve"> </w:t>
      </w:r>
      <w:r>
        <w:t xml:space="preserve">= -0.861, p &lt; .001)</w:t>
      </w:r>
      <w:r>
        <w:t xml:space="preserve"> </w:t>
      </w:r>
      <w:r>
        <w:t xml:space="preserve">but a non-significant quadratic term (</w:t>
      </w:r>
      <m:oMath>
        <m:sSubSup>
          <m:e>
            <m:r>
              <m:rPr>
                <m:nor/>
                <m:sty m:val="p"/>
              </m:rPr>
              <m:t>FSTS</m:t>
            </m:r>
          </m:e>
          <m:sub>
            <m:r>
              <m:t>c</m:t>
            </m:r>
          </m:sub>
          <m:sup>
            <m:r>
              <m:t>2</m:t>
            </m:r>
          </m:sup>
        </m:sSubSup>
      </m:oMath>
      <w:r>
        <w:t xml:space="preserve"> </w:t>
      </w:r>
      <m:oMath>
        <m:r>
          <m:t>β</m:t>
        </m:r>
      </m:oMath>
      <w:r>
        <w:t xml:space="preserve"> </w:t>
      </w:r>
      <w:r>
        <w:t xml:space="preserve">=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w:t>
      </w:r>
      <w:r>
        <w:t xml:space="preserve"> </w:t>
      </w:r>
      <m:oMath>
        <m:r>
          <m:rPr>
            <m:sty m:val="p"/>
          </m:rPr>
          <m:t>×</m:t>
        </m:r>
      </m:oMath>
      <w:r>
        <w:t xml:space="preserve"> </w:t>
      </w:r>
      <w:r>
        <w:t xml:space="preserve">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b>
          <m:e>
            <m:r>
              <m:rPr>
                <m:nor/>
                <m:sty m:val="p"/>
              </m:rPr>
              <m:t>FSTS</m:t>
            </m:r>
          </m:e>
          <m:sub>
            <m:r>
              <m:t>c</m:t>
            </m:r>
          </m:sub>
        </m:sSub>
      </m:oMath>
      <w:r>
        <w:t xml:space="preserve"> </w:t>
      </w:r>
      <m:oMath>
        <m:r>
          <m:rPr>
            <m:sty m:val="p"/>
          </m:rPr>
          <m:t>×</m:t>
        </m:r>
      </m:oMath>
      <w:r>
        <w:t xml:space="preserve"> </w:t>
      </w:r>
      <w:r>
        <w:t xml:space="preserve">wave,</w:t>
      </w:r>
      <w:r>
        <w:t xml:space="preserve"> </w:t>
      </w:r>
      <m:oMath>
        <m:sSubSup>
          <m:e>
            <m:r>
              <m:rPr>
                <m:nor/>
                <m:sty m:val="p"/>
              </m:rPr>
              <m:t>FSTS</m:t>
            </m:r>
          </m:e>
          <m:sub>
            <m:r>
              <m:t>c</m:t>
            </m:r>
          </m:sub>
          <m:sup>
            <m:r>
              <m:t>2</m:t>
            </m:r>
          </m:sup>
        </m:sSubSup>
      </m:oMath>
      <w:r>
        <w:t xml:space="preserve"> </w:t>
      </w:r>
      <m:oMath>
        <m:r>
          <m:rPr>
            <m:sty m:val="p"/>
          </m:rPr>
          <m:t>×</m:t>
        </m:r>
      </m:oMath>
      <w:r>
        <w:t xml:space="preserve"> </w:t>
      </w:r>
      <w:r>
        <w:t xml:space="preserve">wave,</w:t>
      </w:r>
      <w:r>
        <w:t xml:space="preserve"> </w:t>
      </w:r>
      <m:oMath>
        <m:sSub>
          <m:e>
            <m:r>
              <m:rPr>
                <m:nor/>
                <m:sty m:val="p"/>
              </m:rPr>
              <m:t>DAI</m:t>
            </m:r>
          </m:e>
          <m:sub>
            <m:r>
              <m:t>z</m:t>
            </m:r>
          </m:sub>
        </m:sSub>
      </m:oMath>
      <w:r>
        <w:t xml:space="preserve"> </w:t>
      </w:r>
      <m:oMath>
        <m:r>
          <m:rPr>
            <m:sty m:val="p"/>
          </m:rPr>
          <m:t>×</m:t>
        </m:r>
      </m:oMath>
      <w:r>
        <w:t xml:space="preserve"> </w:t>
      </w:r>
      <w:r>
        <w:t xml:space="preserve">wave,</w:t>
      </w:r>
      <w:r>
        <w:t xml:space="preserve"> </w:t>
      </w:r>
      <m:oMath>
        <m:sSub>
          <m:e>
            <m:r>
              <m:rPr>
                <m:nor/>
                <m:sty m:val="p"/>
              </m:rPr>
              <m:t>TCI</m:t>
            </m:r>
          </m:e>
          <m:sub>
            <m:r>
              <m:t>z</m:t>
            </m:r>
          </m:sub>
        </m:sSub>
      </m:oMath>
      <w:r>
        <w:t xml:space="preserve"> </w:t>
      </w:r>
      <m:oMath>
        <m:r>
          <m:rPr>
            <m:sty m:val="p"/>
          </m:rPr>
          <m:t>×</m:t>
        </m:r>
      </m:oMath>
      <w:r>
        <w:t xml:space="preserve"> </w:t>
      </w:r>
      <w:r>
        <w:t xml:space="preserve">wave). The joint Wald tests indicate that only</w:t>
      </w:r>
      <w:r>
        <w:t xml:space="preserve"> </w:t>
      </w:r>
      <m:oMath>
        <m:sSub>
          <m:e>
            <m:r>
              <m:rPr>
                <m:nor/>
                <m:sty m:val="p"/>
              </m:rPr>
              <m:t>DAI</m:t>
            </m:r>
          </m:e>
          <m:sub>
            <m:r>
              <m:t>z</m:t>
            </m:r>
          </m:sub>
        </m:sSub>
      </m:oMath>
      <w:r>
        <w:t xml:space="preserve"> </w:t>
      </w:r>
      <m:oMath>
        <m:r>
          <m:rPr>
            <m:sty m:val="p"/>
          </m:rPr>
          <m:t>×</m:t>
        </m:r>
      </m:oMath>
      <w:r>
        <w:t xml:space="preserve"> </w:t>
      </w:r>
      <w:r>
        <w:t xml:space="preserve">wave is statistically distinguishable from the pooled average (joint p = .016); the</w:t>
      </w:r>
      <w:r>
        <w:t xml:space="preserve"> </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 </w:t>
      </w:r>
      <w:r>
        <w:t xml:space="preserve">and</w:t>
      </w:r>
      <w:r>
        <w:t xml:space="preserve"> </w:t>
      </w:r>
      <m:oMath>
        <m:sSub>
          <m:e>
            <m:r>
              <m:rPr>
                <m:nor/>
                <m:sty m:val="p"/>
              </m:rPr>
              <m:t>TCI</m:t>
            </m:r>
          </m:e>
          <m:sub>
            <m:r>
              <m:t>z</m:t>
            </m:r>
          </m:sub>
        </m:sSub>
      </m:oMath>
      <w:r>
        <w:t xml:space="preserve"> </w:t>
      </w:r>
      <w:r>
        <w:t xml:space="preserve">direct-effect cross-wave differences are not statistically separable (all joint p &gt; .25), and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w:t>
      </w:r>
      <w:r>
        <w:t xml:space="preserve"> </w:t>
      </w:r>
      <m:oMath>
        <m:r>
          <m:rPr>
            <m:nor/>
            <m:sty m:val="p"/>
          </m:rPr>
          <m:t>FSTS</m:t>
        </m:r>
        <m:r>
          <m:rPr>
            <m:sty m:val="p"/>
          </m:rPr>
          <m:t>×</m:t>
        </m:r>
        <m:r>
          <m:rPr>
            <m:nor/>
            <m:sty m:val="p"/>
          </m:rPr>
          <m:t>DAI</m:t>
        </m:r>
      </m:oMath>
      <w:r>
        <w:t xml:space="preserve"> </w:t>
      </w:r>
      <w:r>
        <w:t xml:space="preserve">moderation terms share a common pooled magnitude across waves.</w:t>
      </w:r>
      <w:r>
        <w:t xml:space="preserve"> </w:t>
      </w:r>
      <w:r>
        <w:t xml:space="preserve">Functional form check, cubic extension. To test whether an S-curve (cubic) specification better captures the I–P pattern, we augment the pooled M2 with a cubic term</w:t>
      </w:r>
      <w:r>
        <w:t xml:space="preserve"> </w:t>
      </w:r>
      <m:oMath>
        <m:sSubSup>
          <m:e>
            <m:r>
              <m:rPr>
                <m:nor/>
                <m:sty m:val="p"/>
              </m:rPr>
              <m:t>FSTS</m:t>
            </m:r>
          </m:e>
          <m:sub>
            <m:r>
              <m:t>c</m:t>
            </m:r>
          </m:sub>
          <m:sup>
            <m:r>
              <m:t>3</m:t>
            </m:r>
          </m:sup>
        </m:sSubSup>
      </m:oMath>
      <w:r>
        <w:t xml:space="preserve">. The cubic coefficient is not statistically significant (</w:t>
      </w:r>
      <m:oMath>
        <m:r>
          <m:t>β</m:t>
        </m:r>
      </m:oMath>
      <w:r>
        <w:t xml:space="preserve"> </w:t>
      </w:r>
      <w:r>
        <w:t xml:space="preserve">=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w:t>
      </w:r>
      <w:r>
        <w:t xml:space="preserve"> </w:t>
      </w:r>
      <m:oMath>
        <m:r>
          <m:rPr>
            <m:sty m:val="p"/>
          </m:rPr>
          <m:t>±</m:t>
        </m:r>
      </m:oMath>
      <w:r>
        <w:t xml:space="preserve">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w:t>
      </w:r>
      <m:oMath>
        <m:r>
          <m:t>λ</m:t>
        </m:r>
      </m:oMath>
      <w:r>
        <w:t xml:space="preserve">|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w:t>
      </w:r>
      <w:r>
        <w:t xml:space="preserve"> </w:t>
      </w:r>
      <m:oMath>
        <m:sSub>
          <m:e>
            <m:r>
              <m:rPr>
                <m:nor/>
                <m:sty m:val="p"/>
              </m:rPr>
              <m:t>DAI</m:t>
            </m:r>
          </m:e>
          <m:sub>
            <m:r>
              <m:t>z</m:t>
            </m:r>
          </m:sub>
        </m:sSub>
      </m:oMath>
      <w:r>
        <w:t xml:space="preserve"> </w:t>
      </w:r>
      <w:r>
        <w:t xml:space="preserve">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w:t>
      </w:r>
      <w:r>
        <w:t xml:space="preserve"> </w:t>
      </w:r>
      <m:oMath>
        <m:r>
          <m:rPr>
            <m:nor/>
            <m:sty m:val="p"/>
          </m:rPr>
          <m:t>DAI</m:t>
        </m:r>
        <m:r>
          <m:rPr>
            <m:sty m:val="p"/>
          </m:rPr>
          <m:t>×</m:t>
        </m:r>
        <m:r>
          <m:rPr>
            <m:nor/>
            <m:sty m:val="p"/>
          </m:rPr>
          <m:t>FSTS</m:t>
        </m:r>
      </m:oMath>
      <w:r>
        <w:t xml:space="preserve"> </w:t>
      </w:r>
      <w:r>
        <w:t xml:space="preserve">interaction. The strongly positive instrumented TCI coefficient (</w:t>
      </w:r>
      <m:oMath>
        <m:r>
          <m:t>β</m:t>
        </m:r>
      </m:oMath>
      <w:r>
        <w:t xml:space="preserve">=1.639,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cells) satisfies relevance (strong first stage) and approximate exclusion (peer-adoption rates are unlikely to affect individual firm productivity through channels other than DAI adoption, conditional on sector-wave cells). Oster (2019) δ-stability bounds (assuming R_max = 1.3</w:t>
      </w:r>
      <w:r>
        <w:t xml:space="preserve"> </w:t>
      </w:r>
      <m:oMath>
        <m:r>
          <m:rPr>
            <m:sty m:val="p"/>
          </m:rPr>
          <m:t>×</m:t>
        </m:r>
      </m:oMath>
      <w:r>
        <w:t xml:space="preserve"> </w:t>
      </w:r>
      <w:r>
        <w:t xml:space="preserve">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w:t>
      </w:r>
      <w:r>
        <w:t xml:space="preserve"> </w:t>
      </w:r>
      <m:oMath>
        <m:sSub>
          <m:e>
            <m:r>
              <m:rPr>
                <m:nor/>
                <m:sty m:val="p"/>
              </m:rPr>
              <m:t>DAI</m:t>
            </m:r>
          </m:e>
          <m:sub>
            <m:r>
              <m:t>r</m:t>
            </m:r>
          </m:sub>
        </m:sSub>
      </m:oMath>
      <w:r>
        <w:t xml:space="preserve">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nor/>
                <m:sty m:val="p"/>
              </m:rPr>
              <m:t>TCI</m:t>
            </m:r>
          </m:e>
          <m:sub>
            <m:r>
              <m:t>f</m:t>
            </m:r>
          </m:sub>
        </m:sSub>
      </m:oMath>
      <w:r>
        <w:t xml:space="preserve">ull = broader TCI composite;</w:t>
      </w:r>
      <w:r>
        <w:t xml:space="preserve"> </w:t>
      </w:r>
      <m:oMath>
        <m:sSub>
          <m:e>
            <m:r>
              <m:rPr>
                <m:nor/>
                <m:sty m:val="p"/>
              </m:rPr>
              <m:t>DAI</m:t>
            </m:r>
          </m:e>
          <m:sub>
            <m:r>
              <m:t>r</m:t>
            </m:r>
          </m:sub>
        </m:sSub>
      </m:oMath>
      <w:r>
        <w:t xml:space="preserve">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nor/>
                <m:sty m:val="p"/>
              </m:rPr>
              <m:t>TCI</m:t>
            </m:r>
          </m:e>
          <m:sub>
            <m:r>
              <m:t>f</m:t>
            </m:r>
          </m:sub>
        </m:sSub>
      </m:oMath>
      <w:r>
        <w:t xml:space="preserve">ull direct (2015)</w:t>
      </w:r>
      <w:r>
        <w:t xml:space="preserve"> </w:t>
      </w:r>
      <w:r>
        <w:t xml:space="preserve">956</w:t>
      </w:r>
      <w:r>
        <w:t xml:space="preserve"> </w:t>
      </w:r>
      <m:oMath>
        <m:sSub>
          <m:e>
            <m:r>
              <m:rPr>
                <m:nor/>
                <m:sty m:val="p"/>
              </m:rPr>
              <m:t>TCI</m:t>
            </m:r>
          </m:e>
          <m:sub>
            <m:r>
              <m:t>f</m:t>
            </m:r>
          </m:sub>
        </m:sSub>
      </m:oMath>
      <w:r>
        <w:t xml:space="preserve">ull_z = 0.056 (p = .253) n.s.;</w:t>
      </w:r>
      <w:r>
        <w:t xml:space="preserve"> </w:t>
      </w:r>
      <m:oMath>
        <m:sSub>
          <m:e>
            <m:r>
              <m:rPr>
                <m:nor/>
                <m:sty m:val="p"/>
              </m:rPr>
              <m:t>DAI</m:t>
            </m:r>
          </m:e>
          <m:sub>
            <m:r>
              <m:t>z</m:t>
            </m:r>
          </m:sub>
        </m:sSub>
      </m:oMath>
      <w:r>
        <w:t xml:space="preserve"> </w:t>
      </w:r>
      <w:r>
        <w:t xml:space="preserve">= M3 joint p = .492 n.s.</w:t>
      </w:r>
      <w:r>
        <w:t xml:space="preserve"> </w:t>
      </w:r>
      <w:r>
        <w:t xml:space="preserve">−0.033 n.s.</w:t>
      </w:r>
      <w:r>
        <w:t xml:space="preserve"> </w:t>
      </w:r>
      <w:r>
        <w:t xml:space="preserve">A.</w:t>
      </w:r>
      <w:r>
        <w:t xml:space="preserve"> </w:t>
      </w:r>
      <m:oMath>
        <m:sSub>
          <m:e>
            <m:r>
              <m:rPr>
                <m:nor/>
                <m:sty m:val="p"/>
              </m:rPr>
              <m:t>TCI</m:t>
            </m:r>
          </m:e>
          <m:sub>
            <m:r>
              <m:t>f</m:t>
            </m:r>
          </m:sub>
        </m:sSub>
      </m:oMath>
      <w:r>
        <w:t xml:space="preserve">ull direct (2023)</w:t>
      </w:r>
      <w:r>
        <w:t xml:space="preserve"> </w:t>
      </w:r>
      <w:r>
        <w:t xml:space="preserve">1,013</w:t>
      </w:r>
      <w:r>
        <w:t xml:space="preserve"> </w:t>
      </w:r>
      <m:oMath>
        <m:sSub>
          <m:e>
            <m:r>
              <m:rPr>
                <m:nor/>
                <m:sty m:val="p"/>
              </m:rPr>
              <m:t>TCI</m:t>
            </m:r>
          </m:e>
          <m:sub>
            <m:r>
              <m:t>f</m:t>
            </m:r>
          </m:sub>
        </m:sSub>
      </m:oMath>
      <w:r>
        <w:t xml:space="preserve">ull_z = 0.096 (p = .024);</w:t>
      </w:r>
      <w:r>
        <w:t xml:space="preserve"> </w:t>
      </w:r>
      <m:oMath>
        <m:sSub>
          <m:e>
            <m:r>
              <m:rPr>
                <m:nor/>
                <m:sty m:val="p"/>
              </m:rPr>
              <m:t>DAI</m:t>
            </m:r>
          </m:e>
          <m:sub>
            <m:r>
              <m:t>z</m:t>
            </m:r>
          </m:sub>
        </m:sSub>
      </m:oMath>
      <w:r>
        <w:t xml:space="preserve"> </w:t>
      </w:r>
      <w:r>
        <w:t xml:space="preserve">= M3 joint p = .152 n.s.</w:t>
      </w:r>
      <w:r>
        <w:t xml:space="preserve"> </w:t>
      </w:r>
      <w:r>
        <w:t xml:space="preserve">0.097 (p = .037)</w:t>
      </w:r>
      <w:r>
        <w:t xml:space="preserve"> </w:t>
      </w:r>
      <w:r>
        <w:t xml:space="preserve">B.</w:t>
      </w:r>
      <w:r>
        <w:t xml:space="preserve"> </w:t>
      </w:r>
      <m:oMath>
        <m:sSub>
          <m:e>
            <m:r>
              <m:rPr>
                <m:nor/>
                <m:sty m:val="p"/>
              </m:rPr>
              <m:t>DAI</m:t>
            </m:r>
          </m:e>
          <m:sub>
            <m:r>
              <m:t>r</m:t>
            </m:r>
          </m:sub>
        </m:sSub>
      </m:oMath>
      <w:r>
        <w:t xml:space="preserve">ich continuous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ich_cont_z = −0.933 † (p M8 joint p = .099 †</w:t>
      </w:r>
      <w:r>
        <w:t xml:space="preserve"> </w:t>
      </w:r>
      <w:r>
        <w:t xml:space="preserve">= .076)</w:t>
      </w:r>
      <w:r>
        <w:t xml:space="preserve"> </w:t>
      </w:r>
      <w:r>
        <w:t xml:space="preserve">B.</w:t>
      </w:r>
      <w:r>
        <w:t xml:space="preserve"> </w:t>
      </w:r>
      <m:oMath>
        <m:sSub>
          <m:e>
            <m:r>
              <m:rPr>
                <m:nor/>
                <m:sty m:val="p"/>
              </m:rPr>
              <m:t>DAI</m:t>
            </m:r>
          </m:e>
          <m:sub>
            <m:r>
              <m:t>r</m:t>
            </m:r>
          </m:sub>
        </m:sSub>
      </m:oMath>
      <w:r>
        <w:t xml:space="preserve">ich binary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ich_bin_z = −0.893 (p = M8 joint p = .243 n.s.</w:t>
      </w:r>
      <w:r>
        <w:t xml:space="preserve"> </w:t>
      </w:r>
      <w:r>
        <w:t xml:space="preserve">.169) n.s.</w:t>
      </w:r>
      <w:r>
        <w:t xml:space="preserve"> </w:t>
      </w:r>
      <w:r>
        <w:t xml:space="preserve">C. Common-N reconciled (2023) 1,013</w:t>
      </w:r>
      <w:r>
        <w:t xml:space="preserve"> </w:t>
      </w:r>
      <m:oMath>
        <m:sSub>
          <m:e>
            <m:r>
              <m:rPr>
                <m:nor/>
                <m:sty m:val="p"/>
              </m:rPr>
              <m:t>DAI</m:t>
            </m:r>
          </m:e>
          <m:sub>
            <m:r>
              <m:t>z</m:t>
            </m:r>
          </m:sub>
        </m:sSub>
      </m:oMath>
      <w:r>
        <w:t xml:space="preserve"> </w:t>
      </w:r>
      <w:r>
        <w:t xml:space="preserve">moderation re-estimated on identical M8 joint p = .062 †</w:t>
      </w:r>
      <w:r>
        <w:t xml:space="preserve"> </w:t>
      </w:r>
      <w:r>
        <w:t xml:space="preserve">2023 sample</w:t>
      </w:r>
      <w:r>
        <w:t xml:space="preserve"> </w:t>
      </w:r>
      <w:r>
        <w:t xml:space="preserve">D. Micro-firm exclusion (l1</w:t>
      </w:r>
      <w:r>
        <w:t xml:space="preserve"> </w:t>
      </w:r>
      <m:oMath>
        <m:r>
          <m:rPr>
            <m:sty m:val="p"/>
          </m:rPr>
          <m:t>≥</m:t>
        </m:r>
      </m:oMath>
      <w:r>
        <w:t xml:space="preserve"> </w:t>
      </w:r>
      <w:r>
        <w:t xml:space="preserve">10) 2,473</w:t>
      </w:r>
      <w:r>
        <w:t xml:space="preserve"> </w:t>
      </w:r>
      <m:oMath>
        <m:sSub>
          <m:e>
            <m:r>
              <m:rPr>
                <m:nor/>
                <m:sty m:val="p"/>
              </m:rPr>
              <m:t>TCI</m:t>
            </m:r>
          </m:e>
          <m:sub>
            <m:r>
              <m:t>z</m:t>
            </m:r>
          </m:sub>
        </m:sSub>
      </m:oMath>
      <w:r>
        <w:t xml:space="preserve"> </w:t>
      </w:r>
      <w:r>
        <w:t xml:space="preserve">= 0.188 ;</w:t>
      </w:r>
      <w:r>
        <w:t xml:space="preserve"> </w:t>
      </w:r>
      <m:oMath>
        <m:sSub>
          <m:e>
            <m:r>
              <m:rPr>
                <m:nor/>
                <m:sty m:val="p"/>
              </m:rPr>
              <m:t>DAI</m:t>
            </m:r>
          </m:e>
          <m:sub>
            <m:r>
              <m:t>z</m:t>
            </m:r>
          </m:sub>
        </m:sSub>
      </m:oMath>
      <w:r>
        <w:t xml:space="preserve"> </w:t>
      </w:r>
      <w:r>
        <w:t xml:space="preserve">= 0.054 n.s.</w:t>
      </w:r>
      <w:r>
        <w:t xml:space="preserve"> </w:t>
      </w:r>
      <w:r>
        <w:t xml:space="preserve">M8 joint p = .167 n.s.</w:t>
      </w:r>
      <w:r>
        <w:t xml:space="preserve"> </w:t>
      </w:r>
      <w:r>
        <w:t xml:space="preserve">G. Manufacturing (sector1 1,854</w:t>
      </w:r>
      <w:r>
        <w:t xml:space="preserve"> </w:t>
      </w:r>
      <m:oMath>
        <m:sSub>
          <m:e>
            <m:r>
              <m:rPr>
                <m:nor/>
                <m:sty m:val="p"/>
              </m:rPr>
              <m:t>TCI</m:t>
            </m:r>
          </m:e>
          <m:sub>
            <m:r>
              <m:t>z</m:t>
            </m:r>
          </m:sub>
        </m:sSub>
      </m:oMath>
      <w:r>
        <w:t xml:space="preserve"> </w:t>
      </w:r>
      <w:r>
        <w:t xml:space="preserve">= 0.223 ;</w:t>
      </w:r>
      <w:r>
        <w:t xml:space="preserve"> </w:t>
      </w:r>
      <m:oMath>
        <m:sSub>
          <m:e>
            <m:r>
              <m:rPr>
                <m:nor/>
                <m:sty m:val="p"/>
              </m:rPr>
              <m:t>DAI</m:t>
            </m:r>
          </m:e>
          <m:sub>
            <m:r>
              <m:t>z</m:t>
            </m:r>
          </m:sub>
        </m:sSub>
      </m:oMath>
      <w:r>
        <w:t xml:space="preserve"> </w:t>
      </w:r>
      <w:r>
        <w:t xml:space="preserve">= 0.087 ; M8 joint p = .103 †</w:t>
      </w:r>
      <w:r>
        <w:t xml:space="preserve"> </w:t>
      </w:r>
      <w:r>
        <w:t xml:space="preserve">∈ {1, 2, 3})</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w:t>
      </w:r>
      <w:r>
        <w:t xml:space="preserve"> </w:t>
      </w:r>
      <w:r>
        <w:t xml:space="preserve">H. Exporter-only (FSTS &gt; 0, 669</w:t>
      </w:r>
      <w:r>
        <w:t xml:space="preserve"> </w:t>
      </w:r>
      <m:oMath>
        <m:sSub>
          <m:e>
            <m:r>
              <m:rPr>
                <m:nor/>
                <m:sty m:val="p"/>
              </m:rPr>
              <m:t>FSTS</m:t>
            </m:r>
          </m:e>
          <m:sub>
            <m:r>
              <m:t>c</m:t>
            </m:r>
          </m:sub>
        </m:sSub>
      </m:oMath>
      <w:r>
        <w:t xml:space="preserve"> </w:t>
      </w:r>
      <w:r>
        <w:t xml:space="preserve">= −0.861 ;</w:t>
      </w:r>
      <w:r>
        <w:t xml:space="preserve"> </w:t>
      </w:r>
      <m:oMath>
        <m:sSubSup>
          <m:e>
            <m:r>
              <m:rPr>
                <m:nor/>
                <m:sty m:val="p"/>
              </m:rPr>
              <m:t>FSTS</m:t>
            </m:r>
          </m:e>
          <m:sub>
            <m:r>
              <m:t>c</m:t>
            </m:r>
          </m:sub>
          <m:sup>
            <m:r>
              <m:t>2</m:t>
            </m:r>
          </m:sup>
        </m:sSubSup>
      </m:oMath>
      <w:r>
        <w:t xml:space="preserve"> </w:t>
      </w:r>
      <w:r>
        <w:t xml:space="preserve">= −0.200 M8 joint p = .462 n.s.</w:t>
      </w:r>
      <w:r>
        <w:t xml:space="preserve"> </w:t>
      </w:r>
      <w:r>
        <w:t xml:space="preserve">pooled)</w:t>
      </w:r>
      <w:r>
        <w:t xml:space="preserve"> </w:t>
      </w:r>
      <w:r>
        <w:t xml:space="preserve">n.s.</w:t>
      </w:r>
      <w:r>
        <w:t xml:space="preserve"> </w:t>
      </w:r>
      <w:r>
        <w:t xml:space="preserve">I. Wave</w:t>
      </w:r>
      <w:r>
        <w:t xml:space="preserve"> </w:t>
      </w:r>
      <m:oMath>
        <m:r>
          <m:rPr>
            <m:sty m:val="p"/>
          </m:rPr>
          <m:t>×</m:t>
        </m:r>
      </m:oMath>
      <w:r>
        <w:t xml:space="preserve"> </w:t>
      </w:r>
      <w:r>
        <w:t xml:space="preserve">focal interaction 2,958</w:t>
      </w:r>
      <w:r>
        <w:t xml:space="preserve"> </w:t>
      </w:r>
      <m:oMath>
        <m:sSub>
          <m:e>
            <m:r>
              <m:rPr>
                <m:nor/>
                <m:sty m:val="p"/>
              </m:rPr>
              <m:t>DAI</m:t>
            </m:r>
          </m:e>
          <m:sub>
            <m:r>
              <m:t>z</m:t>
            </m:r>
          </m:sub>
        </m:sSub>
      </m:oMath>
      <w:r>
        <w:t xml:space="preserve"> </w:t>
      </w:r>
      <m:oMath>
        <m:r>
          <m:rPr>
            <m:sty m:val="p"/>
          </m:rPr>
          <m:t>×</m:t>
        </m:r>
      </m:oMath>
      <w:r>
        <w:t xml:space="preserve"> </w:t>
      </w:r>
      <w:r>
        <w:t xml:space="preserve">wave detectable (p = .016); other Only DAI direct shifts</w:t>
      </w:r>
      <w:r>
        <w:t xml:space="preserve"> </w:t>
      </w:r>
      <w:r>
        <w:t xml:space="preserve">(pooled)</w:t>
      </w:r>
      <w:r>
        <w:t xml:space="preserve"> </w:t>
      </w:r>
      <w:r>
        <w:t xml:space="preserve">focal</w:t>
      </w:r>
      <w:r>
        <w:t xml:space="preserve"> </w:t>
      </w:r>
      <m:oMath>
        <m:r>
          <m:rPr>
            <m:sty m:val="p"/>
          </m:rPr>
          <m:t>×</m:t>
        </m:r>
      </m:oMath>
      <w:r>
        <w:t xml:space="preserve"> </w:t>
      </w:r>
      <w:r>
        <w:t xml:space="preserve">wave n.s.</w:t>
      </w:r>
      <w:r>
        <w:t xml:space="preserve"> </w:t>
      </w:r>
      <w:r>
        <w:t xml:space="preserve">cross-wave-separable</w:t>
      </w:r>
      <w:r>
        <w:t xml:space="preserve"> </w:t>
      </w:r>
      <w:r>
        <w:t xml:space="preserve">Density around TP (</w:t>
      </w:r>
      <m:oMath>
        <m:r>
          <m:rPr>
            <m:sty m:val="p"/>
          </m:rPr>
          <m:t>±</m:t>
        </m:r>
      </m:oMath>
      <w:r>
        <w:t xml:space="preserve">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sSub>
          <m:e>
            <m:r>
              <m:rPr>
                <m:nor/>
                <m:sty m:val="p"/>
              </m:rPr>
              <m:t>DAI</m:t>
            </m:r>
          </m:e>
          <m:sub>
            <m:r>
              <m:t>z</m:t>
            </m:r>
          </m:sub>
        </m:sSub>
      </m:oMath>
      <w:r>
        <w:t xml:space="preserve"> </w:t>
      </w:r>
      <w:r>
        <w:t xml:space="preserve">2,298</w:t>
      </w:r>
      <w:r>
        <w:t xml:space="preserve"> </w:t>
      </w:r>
      <m:oMath>
        <m:sSub>
          <m:e>
            <m:r>
              <m:rPr>
                <m:nor/>
                <m:sty m:val="p"/>
              </m:rPr>
              <m:t>DAI</m:t>
            </m:r>
          </m:e>
          <m:sub>
            <m:r>
              <m:t>z</m:t>
            </m:r>
          </m:sub>
        </m:sSub>
      </m:oMath>
      <w:r>
        <w:t xml:space="preserve"> </w:t>
      </w:r>
      <w:r>
        <w:t xml:space="preserve">= 0.018 (p = .942) n.s.</w:t>
      </w:r>
      <w:r>
        <w:t xml:space="preserve"> </w:t>
      </w:r>
      <w:r>
        <w:t xml:space="preserve">First-stage F = 34.6</w:t>
      </w:r>
      <w:r>
        <w:t xml:space="preserve"> </w:t>
      </w:r>
      <w:r>
        <w:t xml:space="preserve">(strong)</w:t>
      </w:r>
      <w:r>
        <w:t xml:space="preserve"> </w:t>
      </w:r>
      <w:r>
        <w:t xml:space="preserve">K. IV / 2SLS,</w:t>
      </w:r>
      <w:r>
        <w:t xml:space="preserve"> </w:t>
      </w:r>
      <m:oMath>
        <m:sSub>
          <m:e>
            <m:r>
              <m:rPr>
                <m:nor/>
                <m:sty m:val="p"/>
              </m:rPr>
              <m:t>TCI</m:t>
            </m:r>
          </m:e>
          <m:sub>
            <m:r>
              <m:t>z</m:t>
            </m:r>
          </m:sub>
        </m:sSub>
      </m:oMath>
      <w:r>
        <w:t xml:space="preserve"> </w:t>
      </w:r>
      <w:r>
        <w:t xml:space="preserve">2,298</w:t>
      </w:r>
      <w:r>
        <w:t xml:space="preserve"> </w:t>
      </w:r>
      <m:oMath>
        <m:sSub>
          <m:e>
            <m:r>
              <m:rPr>
                <m:nor/>
                <m:sty m:val="p"/>
              </m:rPr>
              <m:t>TCI</m:t>
            </m:r>
          </m:e>
          <m:sub>
            <m:r>
              <m:t>z</m:t>
            </m:r>
          </m:sub>
        </m:sSub>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w:t>
      </w:r>
      <w:r>
        <w:t xml:space="preserve"> </w:t>
      </w:r>
      <m:oMath>
        <m:sSub>
          <m:e>
            <m:r>
              <m:rPr>
                <m:nor/>
                <m:sty m:val="p"/>
              </m:rPr>
              <m:t>FSTS</m:t>
            </m:r>
          </m:e>
          <m:sub>
            <m:r>
              <m:t>c</m:t>
            </m:r>
          </m:sub>
        </m:sSub>
      </m:oMath>
      <w:r>
        <w:t xml:space="preserve"> </w:t>
      </w:r>
      <w:r>
        <w:t xml:space="preserve">0.92 to 0.61;</w:t>
      </w:r>
      <w:r>
        <w:t xml:space="preserve"> </w:t>
      </w:r>
      <m:oMath>
        <m:sSub>
          <m:e>
            <m:r>
              <m:rPr>
                <m:nor/>
                <m:sty m:val="p"/>
              </m:rPr>
              <m:t>FSTS</m:t>
            </m:r>
          </m:e>
          <m:sub>
            <m:r>
              <m:t>c</m:t>
            </m:r>
          </m:sub>
        </m:sSub>
      </m:oMath>
      <w:r>
        <w:t xml:space="preserve">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comparisons support wave-specific heterogeneity in TCI and DAI direct effects but not in the I–P curvature parameters. Turning points (already reported in Table 5 above) are derived from M2 (lnLP =</w:t>
      </w:r>
      <w:r>
        <w:t xml:space="preserve"> </w:t>
      </w:r>
      <m:oMath>
        <m:sSub>
          <m:e>
            <m:r>
              <m:t>β</m:t>
            </m:r>
          </m:e>
          <m:sub>
            <m:r>
              <m:t>0</m:t>
            </m:r>
          </m:sub>
        </m:sSub>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paper by the present author group on Singapore — where the deeper Tier-1+2 DAI construct amplifies the productivity return at high export intensity — indicates that foundational digital adoption is a context-dependent resource gated by a depth threshold. We disclose this companion-paper link to flag, rather than conceal, that the Singapore comparator is drawn from our own research programme and should be interpreted accordingly. The substantive reading is that only past the shift from digitising information to integrating digital into processes does foundational digital adoption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w:t>
      </w:r>
      <m:oMath>
        <m:r>
          <m:t>β</m:t>
        </m:r>
      </m:oMath>
      <w:r>
        <w:t xml:space="preserve"> </w:t>
      </w:r>
      <w:r>
        <w:t xml:space="preserve">=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primary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w:t>
      </w:r>
      <w:r>
        <w:t xml:space="preserve"> </w:t>
      </w:r>
      <m:oMath>
        <m:r>
          <m:rPr>
            <m:sty m:val="p"/>
          </m:rPr>
          <m:t>×</m:t>
        </m:r>
      </m:oMath>
      <w:r>
        <w:t xml:space="preserve"> </w:t>
      </w:r>
      <w:r>
        <w:t xml:space="preserve">focal interaction test detects only the DAI direct shifts as cross-wavedistinguishable; the FSTS curvature and the</w:t>
      </w:r>
      <w:r>
        <w:t xml:space="preserve"> </w:t>
      </w:r>
      <m:oMath>
        <m:r>
          <m:rPr>
            <m:nor/>
            <m:sty m:val="p"/>
          </m:rPr>
          <m:t>FSTS</m:t>
        </m:r>
        <m:r>
          <m:rPr>
            <m:sty m:val="p"/>
          </m:rPr>
          <m:t>×</m:t>
        </m:r>
        <m:r>
          <m:rPr>
            <m:nor/>
            <m:sty m:val="p"/>
          </m:rPr>
          <m:t>DAI</m:t>
        </m:r>
      </m:oMath>
      <w:r>
        <w:t xml:space="preserve"> </w:t>
      </w:r>
      <w:r>
        <w:t xml:space="preserve">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implications below should be read as</w:t>
      </w:r>
      <w:r>
        <w:t xml:space="preserve"> </w:t>
      </w:r>
      <w:r>
        <w:rPr>
          <w:iCs/>
          <w:i/>
        </w:rPr>
        <w:t xml:space="preserve">associational stage characterizations</w:t>
      </w:r>
      <w:r>
        <w:t xml:space="preserve"> </w:t>
      </w:r>
      <w:r>
        <w:t xml:space="preserve">given the cross-sectional WBES design, not as causal cost-of-capital optimisation. The stage thresholds (FSTS = 0, FSTS = 30%, FSTS = 39–46%) are anchored at point estimates that carry meaningful uncertainty (the turning-point 95% CIs span roughly 30–50% FSTS in pooled M2), so the qualitative stage logic — composition of capability investment shifts with relative position on the I-P curve — is more robust than any specific FSTS boundary. With this caveat, the managerial implication is not that firms should invest less in digitalisation, but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approximately 39–46%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w:t>
      </w:r>
      <w:r>
        <w:rPr>
          <w:iCs/>
          <w:i/>
        </w:rPr>
        <w:t xml:space="preserve"> </w:t>
      </w:r>
      <m:oMath>
        <m:r>
          <m:rPr>
            <m:sty m:val="p"/>
          </m:rPr>
          <m:t>≈</m:t>
        </m:r>
      </m:oMath>
      <w:r>
        <w:rPr>
          <w:iCs/>
          <w:i/>
        </w:rPr>
        <w:t xml:space="preserve"> </w:t>
      </w:r>
      <w:r>
        <w:rPr>
          <w:iCs/>
          <w:i/>
        </w:rPr>
        <w:t xml:space="preserve">30–46 %).</w:t>
      </w:r>
      <w:r>
        <w:t xml:space="preserve"> </w:t>
      </w:r>
      <w:r>
        <w:t xml:space="preserve">The TCI direct association (pooled</w:t>
      </w:r>
      <w:r>
        <w:t xml:space="preserve"> </w:t>
      </w:r>
      <m:oMath>
        <m:r>
          <m:t>β</m:t>
        </m:r>
      </m:oMath>
      <w:r>
        <w:t xml:space="preserve"> </w:t>
      </w:r>
      <w:r>
        <w:t xml:space="preserve">= 0.179, p &lt; .001; instrumented</w:t>
      </w:r>
      <w:r>
        <w:t xml:space="preserve"> </w:t>
      </w:r>
      <m:oMath>
        <m:r>
          <m:t>β</m:t>
        </m:r>
      </m:oMath>
      <w:r>
        <w:t xml:space="preserve"> </w:t>
      </w:r>
      <w:r>
        <w:t xml:space="preserve">=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w:t>
      </w:r>
      <w:r>
        <w:t xml:space="preserve"> </w:t>
      </w:r>
      <m:oMath>
        <m:r>
          <m:rPr>
            <m:nor/>
            <m:sty m:val="p"/>
          </m:rPr>
          <m:t>FSTS</m:t>
        </m:r>
        <m:r>
          <m:rPr>
            <m:sty m:val="p"/>
          </m:rPr>
          <m:t>×</m:t>
        </m:r>
        <m:sSub>
          <m:e>
            <m:r>
              <m:rPr>
                <m:nor/>
                <m:sty m:val="p"/>
              </m:rPr>
              <m:t>DAI</m:t>
            </m:r>
          </m:e>
          <m:sub>
            <m:r>
              <m:t>z</m:t>
            </m:r>
          </m:sub>
        </m:sSub>
      </m:oMath>
      <w:r>
        <w:t xml:space="preserve"> </w:t>
      </w:r>
      <w:r>
        <w:t xml:space="preserve">interaction observed in 2023 (</w:t>
      </w:r>
      <m:oMath>
        <m:r>
          <m:t>β</m:t>
        </m:r>
      </m:oMath>
      <w:r>
        <w:t xml:space="preserve"> </w:t>
      </w:r>
      <w:r>
        <w:t xml:space="preserve">=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w:t>
      </w:r>
      <w:r>
        <w:t xml:space="preserve"> </w:t>
      </w:r>
      <m:oMath>
        <m:sSub>
          <m:e>
            <m:r>
              <m:rPr>
                <m:nor/>
                <m:sty m:val="p"/>
              </m:rPr>
              <m:t>DAI</m:t>
            </m:r>
          </m:e>
          <m:sub>
            <m:r>
              <m:t>r</m:t>
            </m:r>
          </m:sub>
        </m:sSub>
      </m:oMath>
      <w:r>
        <w:t xml:space="preserve">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 "digital adoption" or "digital transformation" 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2026-05-30T15:55:26Z</dcterms:created>
  <dcterms:modified xsi:type="dcterms:W3CDTF">2026-05-30T15:55:26Z</dcterms:modified>
</cp:coreProperties>
</file>

<file path=docProps/custom.xml><?xml version="1.0" encoding="utf-8"?>
<Properties xmlns="http://schemas.openxmlformats.org/officeDocument/2006/custom-properties" xmlns:vt="http://schemas.openxmlformats.org/officeDocument/2006/docPropsVTypes"/>
</file>