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7.png" ContentType="image/png"/>
  <Override PartName="/word/media/rId50.png" ContentType="image/png"/>
  <Override PartName="/word/media/rId53.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School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Target journal: Asia Pacific Journal of Management (APJM), Springer</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4"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In this zero-inflated setting the inverted-U reflects a participation-barrier effect rather than intensity saturation, and pooled Tier-1 coefficients mask progressive proxy obsolescence. Because the turning-point cluster (39–46% FSTS) is institutionally embedded, the debate moves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4"/>
    <w:bookmarkStart w:id="25"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w:t>
      </w:r>
      <w:r>
        <w:t xml:space="preserve"> </w:t>
      </w:r>
      <m:oMath>
        <m:sSub>
          <m:e>
            <m:r>
              <m:rPr>
                <m:nor/>
                <m:sty m:val="p"/>
              </m:rPr>
              <m:t>TCI</m:t>
            </m:r>
          </m:e>
          <m:sub>
            <m:r>
              <m:t>z</m:t>
            </m:r>
          </m:sub>
        </m:sSub>
      </m:oMath>
      <w:r>
        <w:t xml:space="preserve"> </w:t>
      </w:r>
      <w:r>
        <w:t xml:space="preserve">is the within-wave standardised mean of quality certification and foreign-licensed technology. A single-item website-presence indicator (</w:t>
      </w:r>
      <m:oMath>
        <m:sSub>
          <m:e>
            <m:r>
              <m:rPr>
                <m:nor/>
                <m:sty m:val="p"/>
              </m:rPr>
              <m:t>DAI</m:t>
            </m:r>
          </m:e>
          <m:sub>
            <m:r>
              <m:t>z</m:t>
            </m:r>
          </m:sub>
        </m:sSub>
      </m:oMath>
      <w:r>
        <w:t xml:space="preserve">, Tier 1 only) is retained as a baseline digital-presence control given the WBES Vietnam measurement constraint; the two share no items.</w:t>
      </w:r>
    </w:p>
    <w:p>
      <w:pPr>
        <w:pStyle w:val="BodyText"/>
      </w:pPr>
      <w:r>
        <w:t xml:space="preserve"></w:t>
      </w:r>
      <w:r>
        <w:t xml:space="preserve"> </w:t>
      </w:r>
      <m:oMath>
        <m:sSub>
          <m:e>
            <m:r>
              <m:rPr>
                <m:nor/>
                <m:sty m:val="p"/>
              </m:rPr>
              <m:t>TCI</m:t>
            </m:r>
          </m:e>
          <m:sub>
            <m:r>
              <m:t>z</m:t>
            </m:r>
          </m:sub>
        </m:sSub>
      </m:oMath>
      <w:r>
        <w:t xml:space="preserve"> </w:t>
      </w:r>
      <w:r>
        <w:t xml:space="preserve">is positively associated with productivity in all three waves (</w:t>
      </w:r>
      <m:oMath>
        <m:r>
          <m:t>β</m:t>
        </m:r>
      </m:oMath>
      <w:r>
        <w:t xml:space="preserve"> </w:t>
      </w:r>
      <w:r>
        <w:t xml:space="preserve">= 0.215, 0.128, 0.123) and pooled (</w:t>
      </w:r>
      <m:oMath>
        <m:r>
          <m:t>β</m:t>
        </m:r>
      </m:oMath>
      <w:r>
        <w:t xml:space="preserve"> </w:t>
      </w:r>
      <w:r>
        <w:t xml:space="preserve">=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a step function across the export-participation barrier rather than a continuous within-exporter saturation curve</w:t>
      </w:r>
      <w:r>
        <w:t xml:space="preserve">: re-fitted on the exporter-only sub-sample (FSTS &gt; 0; pooled N = 669), the quadratic FSTS term loses significance (</w:t>
      </w:r>
      <m:oMath>
        <m:r>
          <m:t>β</m:t>
        </m:r>
      </m:oMath>
      <w:r>
        <w:t xml:space="preserve"> </w:t>
      </w:r>
      <w:r>
        <w:t xml:space="preserve">= -0.200, p = .660); only ~1.0 % of pooled firms sit within</w:t>
      </w:r>
      <w:r>
        <w:t xml:space="preserve"> </w:t>
      </w:r>
      <m:oMath>
        <m:r>
          <m:rPr>
            <m:sty m:val="p"/>
          </m:rPr>
          <m:t>±</m:t>
        </m:r>
      </m:oMath>
      <w:r>
        <w:t xml:space="preserve">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w:t>
      </w:r>
      <m:oMath>
        <m:r>
          <m:t>β</m:t>
        </m:r>
      </m:oMath>
      <w:r>
        <w:t xml:space="preserve"> </w:t>
      </w:r>
      <w:r>
        <w:t xml:space="preserve">= 0.175), null in 2015 (</w:t>
      </w:r>
      <m:oMath>
        <m:r>
          <m:t>β</m:t>
        </m:r>
      </m:oMath>
      <w:r>
        <w:t xml:space="preserve"> </w:t>
      </w:r>
      <w:r>
        <w:t xml:space="preserve">= -0.044), and positive in 2023 (</w:t>
      </w:r>
      <m:oMath>
        <m:r>
          <m:t>β</m:t>
        </m:r>
      </m:oMath>
      <w:r>
        <w:t xml:space="preserve"> </w:t>
      </w:r>
      <w:r>
        <w:t xml:space="preserve">= 0.095); the negative</w:t>
      </w:r>
      <w:r>
        <w:t xml:space="preserve"> </w:t>
      </w:r>
      <m:oMath>
        <m:r>
          <m:rPr>
            <m:nor/>
            <m:sty m:val="p"/>
          </m:rPr>
          <m:t>DAI</m:t>
        </m:r>
        <m:r>
          <m:rPr>
            <m:sty m:val="p"/>
          </m:rPr>
          <m:t>×</m:t>
        </m:r>
        <m:r>
          <m:rPr>
            <m:nor/>
            <m:sty m:val="p"/>
          </m:rPr>
          <m:t>FSTS</m:t>
        </m:r>
      </m:oMath>
      <w:r>
        <w:t xml:space="preserve"> </w:t>
      </w:r>
      <w:r>
        <w:t xml:space="preserve">interaction observed only in 2023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read as Tier-1 proxy obsolescence as website ownership diffuses to near-universal levels (49.8 % in 2023 vs 42.5 % in 2009), not as evidence on dynamic digital capability moderation.</w:t>
      </w:r>
    </w:p>
    <w:bookmarkEnd w:id="25"/>
    <w:bookmarkStart w:id="30" w:name="Xe3d0fc0bea9a42ce7605565d0964033d7f6ee47"/>
    <w:p>
      <w:pPr>
        <w:pStyle w:val="Heading2"/>
      </w:pPr>
      <w:r>
        <w:t xml:space="preserve">1. Introduction</w:t>
      </w:r>
    </w:p>
    <w:bookmarkStart w:id="26"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driven primarily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The participation-margin mechanism itself is well established in the trade and selection literatures — Melitz (2003) on heterogeneous firms with sunk export costs, Wagner (2007) on exporter productivity premia, and Bernard et al. (2007, 2012) on extensive-margin productivity gains. Our contribution is not to discover this mechanism but to document that, in three repeated cross-sections of Vietnamese firms, the participation-margin effect is large enough to explain the entire apparent inverted-U observed in standard FSTS-and-FSTS² specifications, with the within-exporter curvature statistically flat. This locates the productivity-relevant friction at the participation margin where institutional and capability constraints bind hardest in a transitional setting.</w:t>
      </w:r>
    </w:p>
    <w:bookmarkEnd w:id="26"/>
    <w:bookmarkStart w:id="27" w:name="X2961a496af63dca26d6e29b654ead2e696c6fdd"/>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7"/>
    <w:bookmarkStart w:id="28" w:name="X494b14dde48fd709c427dcfac91526fdde5ec7e"/>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which helps explain how pooled average effects coexist with substantial wave-specific differences.</w:t>
      </w:r>
    </w:p>
    <w:p>
      <w:pPr>
        <w:pStyle w:val="BodyText"/>
      </w:pPr>
      <w:r>
        <w:t xml:space="preserve">The final contribution reframes the</w:t>
      </w:r>
      <w:r>
        <w:t xml:space="preserve"> </w:t>
      </w:r>
      <w:r>
        <w:rPr>
          <w:iCs/>
          <w:i/>
        </w:rPr>
        <w:t xml:space="preserve">interpretation</w:t>
      </w:r>
      <w:r>
        <w:t xml:space="preserve"> </w:t>
      </w:r>
      <w:r>
        <w:t xml:space="preserve">of the apparent inverted-U: the Vietnamese evidence suggests that the robustly identified turning point (39–46 % FSTS) reflects a step function across the export-participation barrier rather than a continuous coordination-cost saturation curve. The decomposition is sharp: re-fitted on the exporter-only sub-sample, the quadratic FSTS term collapses to a non-significant</w:t>
      </w:r>
      <w:r>
        <w:t xml:space="preserve"> </w:t>
      </w:r>
      <m:oMath>
        <m:r>
          <m:t>β</m:t>
        </m:r>
      </m:oMath>
      <w:r>
        <w:t xml:space="preserve"> </w:t>
      </w:r>
      <w:r>
        <w:t xml:space="preserve">= -0.200 (p = .660), and only ~1.0 % of pooled firms occupy the</w:t>
      </w:r>
      <w:r>
        <w:t xml:space="preserve"> </w:t>
      </w:r>
      <m:oMath>
        <m:r>
          <m:rPr>
            <m:sty m:val="p"/>
          </m:rPr>
          <m:t>±</m:t>
        </m:r>
      </m:oMath>
      <w:r>
        <w:t xml:space="preserve">5 percentage-point neighbourhood of the turning point. The participation-margin mechanism itself is well-known in the trade literature (Melitz, 2003; Bernard et al., 2007, 2012; Wagner, 2007); our contribution is empirical decomposition, not mechanism discovery.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8"/>
    <w:bookmarkStart w:id="29" w:name="Xdd618d9602139b0eee88c4277e195c55d104c48"/>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9"/>
    <w:bookmarkEnd w:id="30"/>
    <w:bookmarkStart w:id="38" w:name="X8bf20a63f0decf7b16e99d564b9958ec4fbbb23"/>
    <w:p>
      <w:pPr>
        <w:pStyle w:val="Heading2"/>
      </w:pPr>
      <w:r>
        <w:t xml:space="preserve">2. Theory and hypotheses</w:t>
      </w:r>
    </w:p>
    <w:bookmarkStart w:id="31" w:name="X475e56b016e644d98a8e16bb390e9ef0dd93722"/>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w:t>
      </w:r>
      <w:r>
        <w:t xml:space="preserve"> </w:t>
      </w:r>
      <m:oMath>
        <m:sSubSup>
          <m:e>
            <m:r>
              <m:rPr>
                <m:nor/>
                <m:sty m:val="p"/>
              </m:rPr>
              <m:t>FSTS</m:t>
            </m:r>
          </m:e>
          <m:sub>
            <m:r>
              <m:t>c</m:t>
            </m:r>
          </m:sub>
          <m:sup>
            <m:r>
              <m:t>2</m:t>
            </m:r>
          </m:sup>
        </m:sSubSup>
      </m:oMath>
      <w:r>
        <w:t xml:space="preserve"> </w:t>
      </w:r>
      <m:oMath>
        <m:r>
          <m:t>β</m:t>
        </m:r>
      </m:oMath>
      <w:r>
        <w:t xml:space="preserve"> </w:t>
      </w:r>
      <w:r>
        <w:t xml:space="preserve">= −0.200, p = .660) instead indicates that the participation margin (H1a) is the dominant source of the full-sample curvature.</w:t>
      </w:r>
    </w:p>
    <w:bookmarkEnd w:id="31"/>
    <w:bookmarkStart w:id="32"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w:t>
      </w:r>
      <w:r>
        <w:t xml:space="preserve"> </w:t>
      </w:r>
      <m:oMath>
        <m:sSub>
          <m:e>
            <m:r>
              <m:rPr>
                <m:nor/>
                <m:sty m:val="p"/>
              </m:rPr>
              <m:t>TCI</m:t>
            </m:r>
          </m:e>
          <m:sub>
            <m:r>
              <m:t>z</m:t>
            </m:r>
          </m:sub>
        </m:sSub>
      </m:oMath>
      <w:r>
        <w:t xml:space="preserve"> </w:t>
      </w:r>
      <w:r>
        <w:t xml:space="preserve">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w:t>
      </w:r>
      <m:oMath>
        <m:sSub>
          <m:e>
            <m:r>
              <m:rPr>
                <m:nor/>
                <m:sty m:val="p"/>
              </m:rPr>
              <m:t>TCI</m:t>
            </m:r>
          </m:e>
          <m:sub>
            <m:r>
              <m:t>f</m:t>
            </m:r>
          </m:sub>
        </m:sSub>
      </m:oMath>
      <w:r>
        <w:t xml:space="preserve">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w:t>
      </w:r>
      <m:oMath>
        <m:sSub>
          <m:e>
            <m:r>
              <m:rPr>
                <m:nor/>
                <m:sty m:val="p"/>
              </m:rPr>
              <m:t>TCI</m:t>
            </m:r>
          </m:e>
          <m:sub>
            <m:r>
              <m:t>z</m:t>
            </m:r>
          </m:sub>
        </m:sSub>
      </m:oMath>
      <w:r>
        <w:t xml:space="preserve">),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2"/>
    <w:bookmarkStart w:id="33" w:name="X02827d6cc0af65ac39b2d56f2f17672268c2f6b"/>
    <w:p>
      <w:pPr>
        <w:pStyle w:val="Heading3"/>
      </w:pPr>
      <w:r>
        <w:t xml:space="preserve">2.3 Website-based digital presence and firm performance</w:t>
      </w:r>
    </w:p>
    <w:p>
      <w:pPr>
        <w:pStyle w:val="FirstParagraph"/>
      </w:pPr>
      <w:r>
        <w:t xml:space="preserve">The primary</w:t>
      </w:r>
      <w:r>
        <w:t xml:space="preserve"> </w:t>
      </w:r>
      <m:oMath>
        <m:sSub>
          <m:e>
            <m:r>
              <m:rPr>
                <m:nor/>
                <m:sty m:val="p"/>
              </m:rPr>
              <m:t>DAI</m:t>
            </m:r>
          </m:e>
          <m:sub>
            <m:r>
              <m:t>z</m:t>
            </m:r>
          </m:sub>
        </m:sSub>
      </m:oMath>
      <w:r>
        <w:t xml:space="preserve"> </w:t>
      </w:r>
      <w:r>
        <w:t xml:space="preserve">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w:t>
      </w:r>
      <w:r>
        <w:t xml:space="preserve"> </w:t>
      </w:r>
      <w:r>
        <w:t xml:space="preserve">dynamic digital capability (data-driven decision-making, AI integration). The primary</w:t>
      </w:r>
      <w:r>
        <w:t xml:space="preserve"> </w:t>
      </w:r>
      <m:oMath>
        <m:sSub>
          <m:e>
            <m:r>
              <m:rPr>
                <m:nor/>
                <m:sty m:val="p"/>
              </m:rPr>
              <m:t>DAI</m:t>
            </m:r>
          </m:e>
          <m:sub>
            <m:r>
              <m:t>z</m:t>
            </m:r>
          </m:sub>
        </m:sSub>
      </m:oMath>
    </w:p>
    <w:p>
      <w:pPr>
        <w:pStyle w:val="BodyText"/>
      </w:pPr>
      <w:r>
        <w:t xml:space="preserve">anchors at Tier 1 only. A Tier 3-style extension (</w:t>
      </w:r>
      <m:oMath>
        <m:sSub>
          <m:e>
            <m:r>
              <m:rPr>
                <m:nor/>
                <m:sty m:val="p"/>
              </m:rPr>
              <m:t>DAI</m:t>
            </m:r>
          </m:e>
          <m:sub>
            <m:r>
              <m:t>r</m:t>
            </m:r>
          </m:sub>
        </m:sSub>
      </m:oMath>
      <w:r>
        <w:t xml:space="preserve">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w:t>
      </w:r>
      <w:r>
        <w:t xml:space="preserve"> </w:t>
      </w:r>
      <m:oMath>
        <m:sSub>
          <m:e>
            <m:r>
              <m:rPr>
                <m:nor/>
                <m:sty m:val="p"/>
              </m:rPr>
              <m:t>DAI</m:t>
            </m:r>
          </m:e>
          <m:sub>
            <m:r>
              <m:t>z</m:t>
            </m:r>
          </m:sub>
        </m:sSub>
      </m:oMath>
      <w:r>
        <w:t xml:space="preserve"> </w:t>
      </w:r>
      <w:r>
        <w:t xml:space="preserve">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w:t>
      </w:r>
      <w:r>
        <w:t xml:space="preserve"> </w:t>
      </w:r>
      <m:oMath>
        <m:sSub>
          <m:e>
            <m:r>
              <m:rPr>
                <m:nor/>
                <m:sty m:val="p"/>
              </m:rPr>
              <m:t>DAI</m:t>
            </m:r>
          </m:e>
          <m:sub>
            <m:r>
              <m:t>z</m:t>
            </m:r>
          </m:sub>
        </m:sSub>
      </m:oMath>
      <w:r>
        <w:t xml:space="preserve"> </w:t>
      </w:r>
      <w:r>
        <w:t xml:space="preserve">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a</w:t>
      </w:r>
      <w:r>
        <w:t xml:space="preserve"> </w:t>
      </w:r>
      <w:r>
        <w:rPr>
          <w:iCs/>
          <w:i/>
        </w:rPr>
        <w:t xml:space="preserve">digital saturation</w:t>
      </w:r>
      <w:r>
        <w:t xml:space="preserve"> </w:t>
      </w:r>
      <w:r>
        <w:t xml:space="preserve">in which near-universal Tier-1 presence loses discriminating power, rather than a marker of digital strategy. This is a substantive finding in its own right: basic website adoption has decayed from a candidate RBV advantage into a baseline hygiene condition.</w:t>
      </w:r>
      <w:r>
        <w:t xml:space="preserve"> </w:t>
      </w:r>
      <w:r>
        <w:rPr>
          <w:bCs/>
          <w:b/>
        </w:rPr>
        <w:t xml:space="preserve">Accordingly,</w:t>
      </w:r>
      <w:r>
        <w:rPr>
          <w:bCs/>
          <w:b/>
        </w:rPr>
        <w:t xml:space="preserve"> </w:t>
      </w:r>
      <m:oMath>
        <m:sSub>
          <m:e>
            <m:r>
              <m:rPr>
                <m:nor/>
                <m:sty m:val="p"/>
              </m:rPr>
              <m:t>DAI</m:t>
            </m:r>
          </m:e>
          <m:sub>
            <m:r>
              <m:t>z</m:t>
            </m:r>
          </m:sub>
        </m:sSub>
      </m:oMath>
      <w:r>
        <w:rPr>
          <w:bCs/>
          <w:b/>
        </w:rPr>
        <w:t xml:space="preserve"> </w:t>
      </w:r>
      <w:r>
        <w:rPr>
          <w:bCs/>
          <w:b/>
        </w:rPr>
        <w:t xml:space="preserve">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w:t>
      </w:r>
      <w:r>
        <w:t xml:space="preserve"> </w:t>
      </w:r>
      <m:oMath>
        <m:sSub>
          <m:e>
            <m:r>
              <m:rPr>
                <m:nor/>
                <m:sty m:val="p"/>
              </m:rPr>
              <m:t>DAI</m:t>
            </m:r>
          </m:e>
          <m:sub>
            <m:r>
              <m:t>z</m:t>
            </m:r>
          </m:sub>
        </m:sSub>
      </m:oMath>
      <w:r>
        <w:t xml:space="preserve"> </w:t>
      </w:r>
      <w:r>
        <w:t xml:space="preserve">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w:t>
      </w:r>
      <w:r>
        <w:t xml:space="preserve"> </w:t>
      </w:r>
      <m:oMath>
        <m:sSub>
          <m:e>
            <m:r>
              <m:rPr>
                <m:nor/>
                <m:sty m:val="p"/>
              </m:rPr>
              <m:t>DAI</m:t>
            </m:r>
          </m:e>
          <m:sub>
            <m:r>
              <m:t>z</m:t>
            </m:r>
          </m:sub>
        </m:sSub>
      </m:oMath>
      <w:r>
        <w:t xml:space="preserve"> </w:t>
      </w:r>
      <w:r>
        <w:t xml:space="preserve">should be read as reflecting baseline digital-presence variation, not dynamic digital capability. This caveat shields the present analysis from over-claiming on the limited Tier-1 information that a single binary website indicator can provide.</w:t>
      </w:r>
    </w:p>
    <w:bookmarkEnd w:id="33"/>
    <w:bookmarkStart w:id="37"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w:t>
      </w:r>
      <w:r>
        <w:t xml:space="preserve"> </w:t>
      </w:r>
      <m:oMath>
        <m:r>
          <m:rPr>
            <m:nor/>
            <m:sty m:val="p"/>
          </m:rPr>
          <m:t>DAI</m:t>
        </m:r>
        <m:r>
          <m:rPr>
            <m:sty m:val="p"/>
          </m:rPr>
          <m:t>×</m:t>
        </m:r>
        <m:r>
          <m:rPr>
            <m:nor/>
            <m:sty m:val="p"/>
          </m:rPr>
          <m:t>FSTS</m:t>
        </m:r>
      </m:oMath>
      <w:r>
        <w:t xml:space="preserve"> </w:t>
      </w:r>
      <w:r>
        <w:t xml:space="preserve">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w:t>
      </w:r>
      <m:oMath>
        <m:sSub>
          <m:e>
            <m:r>
              <m:rPr>
                <m:nor/>
                <m:sty m:val="p"/>
              </m:rPr>
              <m:t>DAI</m:t>
            </m:r>
          </m:e>
          <m:sub>
            <m:r>
              <m:t>z</m:t>
            </m:r>
          </m:sub>
        </m:sSub>
      </m:oMath>
      <w:r>
        <w:t xml:space="preserve">,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w:t>
      </w:r>
      <m:oMath>
        <m:sSub>
          <m:e>
            <m:r>
              <m:rPr>
                <m:nor/>
                <m:sty m:val="p"/>
              </m:rPr>
              <m:t>TCI</m:t>
            </m:r>
          </m:e>
          <m:sub>
            <m:r>
              <m:t>z</m:t>
            </m:r>
          </m:sub>
        </m:sSub>
      </m:oMath>
      <w:r>
        <w:t xml:space="preserve">)</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w:t>
      </w:r>
      <m:oMath>
        <m:sSub>
          <m:e>
            <m:r>
              <m:rPr>
                <m:nor/>
                <m:sty m:val="p"/>
              </m:rPr>
              <m:t>FSTS</m:t>
            </m:r>
          </m:e>
          <m:sub>
            <m:r>
              <m:t>c</m:t>
            </m:r>
          </m:sub>
        </m:sSub>
      </m:oMath>
      <w:r>
        <w:t xml:space="preserve">,</w:t>
      </w:r>
      <w:r>
        <w:t xml:space="preserve"> </w:t>
      </w:r>
      <m:oMath>
        <m:sSubSup>
          <m:e>
            <m:r>
              <m:rPr>
                <m:nor/>
                <m:sty m:val="p"/>
              </m:rPr>
              <m:t>FSTS</m:t>
            </m:r>
          </m:e>
          <m:sub>
            <m:r>
              <m:t>c</m:t>
            </m:r>
          </m:sub>
          <m:sup>
            <m:r>
              <m:t>2</m:t>
            </m:r>
          </m:sup>
        </m:sSubSup>
      </m:oMath>
      <w:r>
        <w:t xml:space="preserve">)</w:t>
      </w:r>
      <w:r>
        <w:t xml:space="preserve"> </w:t>
      </w:r>
      <w:r>
        <w:t xml:space="preserve">(ln labour productivity)</w:t>
      </w:r>
      <w:r>
        <w:t xml:space="preserve"> </w:t>
      </w:r>
      <w:r>
        <w:t xml:space="preserve">H4 (mod., exploratory probe)</w:t>
      </w:r>
      <w:r>
        <w:t xml:space="preserve"> </w:t>
      </w:r>
      <m:oMath>
        <m:sSub>
          <m:e>
            <m:r>
              <m:rPr>
                <m:nor/>
                <m:sty m:val="p"/>
              </m:rPr>
              <m:t>DAI</m:t>
            </m:r>
          </m:e>
          <m:sub>
            <m:r>
              <m:t>z</m:t>
            </m:r>
          </m:sub>
        </m:sSub>
      </m:oMath>
      <w:r>
        <w:t xml:space="preserve"> </w:t>
      </w:r>
      <w:r>
        <w:t xml:space="preserve">(baseline control)</w:t>
      </w:r>
    </w:p>
    <w:p>
      <w:pPr>
        <w:pStyle w:val="BodyText"/>
      </w:pPr>
      <w:r>
        <w:t xml:space="preserve">Baseline website-presence</w:t>
      </w:r>
      <w:r>
        <w:t xml:space="preserve"> </w:t>
      </w:r>
      <w:r>
        <w:t xml:space="preserve">(</w:t>
      </w:r>
      <m:oMath>
        <m:sSub>
          <m:e>
            <m:r>
              <m:rPr>
                <m:nor/>
                <m:sty m:val="p"/>
              </m:rPr>
              <m:t>DAI</m:t>
            </m:r>
          </m:e>
          <m:sub>
            <m:r>
              <m:t>z</m:t>
            </m:r>
          </m:sub>
        </m:sSub>
      </m:oMath>
      <w:r>
        <w:t xml:space="preserve">, Tier 1 only)</w:t>
      </w:r>
    </w:p>
    <w:p>
      <w:pPr>
        <w:pStyle w:val="BodyText"/>
      </w:pPr>
      <w:r>
        <w:t xml:space="preserve">Controls: lnEmp, FirmAge, ForeignOwned, sector FE [+ wave FE]</w:t>
      </w:r>
    </w:p>
    <w:p>
      <w:pPr>
        <w:pStyle w:val="BodyText"/>
      </w:pPr>
      <w:r>
        <w:drawing>
          <wp:inline>
            <wp:extent cx="5753100" cy="3160501"/>
            <wp:effectExtent b="0" l="0" r="0" t="0"/>
            <wp:docPr descr="Figure 1: Conceptual model, TCI, DAI, and export intensity as determinants of firm performance (Vietnam, 3-wave)" title="" id="35" name="Picture"/>
            <a:graphic>
              <a:graphicData uri="http://schemas.openxmlformats.org/drawingml/2006/picture">
                <pic:pic>
                  <pic:nvPicPr>
                    <pic:cNvPr descr="figures/vietnam/figure_1_conceptual_model.png" id="36" name="Picture"/>
                    <pic:cNvPicPr>
                      <a:picLocks noChangeArrowheads="1" noChangeAspect="1"/>
                    </pic:cNvPicPr>
                  </pic:nvPicPr>
                  <pic:blipFill>
                    <a:blip r:embed="rId34"/>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is placed at left; the dependent variable, firm performance, measured as ln(labour productivity) = ln(annual revenue PPP / permanent workers), is placed at right, following left-to-right causal flow convention. H1 (inverted-U nonlinearity:</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is grounded in the Uppsala model (Johanson &amp; Vahlne, 1977, 2009) and coordination-cost theory (Hitt et al., 1997). H2 specifies technological capability (</w:t>
      </w:r>
      <m:oMath>
        <m:sSub>
          <m:e>
            <m:r>
              <m:rPr>
                <m:nor/>
                <m:sty m:val="p"/>
              </m:rPr>
              <m:t>TCI</m:t>
            </m:r>
          </m:e>
          <m:sub>
            <m:r>
              <m:t>z</m:t>
            </m:r>
          </m:sub>
        </m:sSub>
      </m:oMath>
      <w:r>
        <w:t xml:space="preserve">, Resource-Based View: Barney, 1991) as a level-shifting direct effect and secondary moderator on the FSTS–performance curve; instrument: industry-level TCI mean (causal IV identification). H4 treats website-based digital adoption (</w:t>
      </w:r>
      <m:oMath>
        <m:sSub>
          <m:e>
            <m:r>
              <m:rPr>
                <m:nor/>
                <m:sty m:val="p"/>
              </m:rPr>
              <m:t>DAI</m:t>
            </m:r>
          </m:e>
          <m:sub>
            <m:r>
              <m:t>z</m:t>
            </m:r>
          </m:sub>
        </m:sSub>
      </m:oMath>
      <w:r>
        <w:t xml:space="preserve">, Tier-1 only) as an exploratory probe of the Digital Capability Lens (Banalieva &amp;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w:t>
      </w:r>
      <w:r>
        <w:t xml:space="preserve"> </w:t>
      </w:r>
      <m:oMath>
        <m:r>
          <m:rPr>
            <m:sty m:val="p"/>
          </m:rPr>
          <m:t>≈</m:t>
        </m:r>
      </m:oMath>
      <w:r>
        <w:t xml:space="preserve"> </w:t>
      </w:r>
      <w:r>
        <w:t xml:space="preserve">−0.09 in 2023, World Bank). Data: WBES 2009, 2015, 2023; N = 2,958 (pooled), n_wave = 989/956/1,013.</w:t>
      </w:r>
    </w:p>
    <w:bookmarkEnd w:id="37"/>
    <w:bookmarkEnd w:id="38"/>
    <w:bookmarkStart w:id="44" w:name="Xfd2f05febb90fd7f58b14547dd9b33901f267a5"/>
    <w:p>
      <w:pPr>
        <w:pStyle w:val="Heading2"/>
      </w:pPr>
      <w:r>
        <w:t xml:space="preserve">3. Data, variables, and empirical strategy</w:t>
      </w:r>
    </w:p>
    <w:bookmarkStart w:id="39"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9"/>
    <w:bookmarkStart w:id="40"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so that linear and quadratic terms can be entered jointly to test for nonlinearity. The analysis uses two distinct capability constructs. The Technological Capability Index (</w:t>
      </w:r>
      <m:oMath>
        <m:sSub>
          <m:e>
            <m:r>
              <m:rPr>
                <m:nor/>
                <m:sty m:val="p"/>
              </m:rPr>
              <m:t>TCI</m:t>
            </m:r>
          </m:e>
          <m:sub>
            <m:r>
              <m:t>z</m:t>
            </m:r>
          </m:sub>
        </m:sSub>
      </m:oMath>
      <w:r>
        <w:t xml:space="preserve">) is interpreted narrowly as a foreign-technology and standards capability measure —</w:t>
      </w:r>
      <w:r>
        <w:t xml:space="preserve"> </w:t>
      </w:r>
      <w:r>
        <w:t xml:space="preserve">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w:t>
      </w:r>
      <m:oMath>
        <m:sSub>
          <m:e>
            <m:r>
              <m:rPr>
                <m:nor/>
                <m:sty m:val="p"/>
              </m:rPr>
              <m:t>DAI</m:t>
            </m:r>
          </m:e>
          <m:sub>
            <m:r>
              <m:t>z</m:t>
            </m:r>
          </m:sub>
        </m:sSub>
      </m:oMath>
      <w:r>
        <w:t xml:space="preserve">)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The primary Technological Capability Index (</w:t>
      </w:r>
      <m:oMath>
        <m:sSub>
          <m:e>
            <m:r>
              <m:rPr>
                <m:nor/>
                <m:sty m:val="p"/>
              </m:rPr>
              <m:t>TCI</m:t>
            </m:r>
          </m:e>
          <m:sub>
            <m:r>
              <m:t>z</m:t>
            </m:r>
          </m:sub>
        </m:sSub>
      </m:oMath>
      <w:r>
        <w:t xml:space="preserve">)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w:t>
      </w:r>
      <m:oMath>
        <m:sSub>
          <m:e>
            <m:r>
              <m:rPr>
                <m:nor/>
                <m:sty m:val="p"/>
              </m:rPr>
              <m:t>DAI</m:t>
            </m:r>
          </m:e>
          <m:sub>
            <m:r>
              <m:t>z</m:t>
            </m:r>
          </m:sub>
        </m:sSub>
      </m:oMath>
      <w:r>
        <w:t xml:space="preserve">)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w:t>
      </w:r>
      <w:r>
        <w:t xml:space="preserve"> </w:t>
      </w:r>
      <m:oMath>
        <m:sSub>
          <m:e>
            <m:r>
              <m:rPr>
                <m:nor/>
                <m:sty m:val="p"/>
              </m:rPr>
              <m:t>DAI</m:t>
            </m:r>
          </m:e>
          <m:sub>
            <m:r>
              <m:t>z</m:t>
            </m:r>
          </m:sub>
        </m:sSub>
      </m:oMath>
      <w:r>
        <w:t xml:space="preserve"> </w:t>
      </w:r>
      <w:r>
        <w:t xml:space="preserve">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m:oMath>
        <m:sSub>
          <m:e>
            <m:r>
              <m:rPr>
                <m:nor/>
                <m:sty m:val="p"/>
              </m:rPr>
              <m:t>TCI</m:t>
            </m:r>
          </m:e>
          <m:sub>
            <m:r>
              <m:t>f</m:t>
            </m:r>
          </m:sub>
        </m:sSub>
      </m:oMath>
      <w:r>
        <w:t xml:space="preserve">ull adds h1 (introduced new or significantly improved product) and h8 (R&amp;D expenditure</w:t>
      </w:r>
      <w:r>
        <w:t xml:space="preserve"> </w:t>
      </w:r>
      <w:r>
        <w:t xml:space="preserve">indicator) to the TCI items in 2015 and 2023, where h1 and h8 are present.</w:t>
      </w:r>
      <w:r>
        <w:t xml:space="preserve"> </w:t>
      </w:r>
      <m:oMath>
        <m:sSub>
          <m:e>
            <m:r>
              <m:rPr>
                <m:nor/>
                <m:sty m:val="p"/>
              </m:rPr>
              <m:t>DAI</m:t>
            </m:r>
          </m:e>
          <m:sub>
            <m:r>
              <m:t>r</m:t>
            </m:r>
          </m:sub>
        </m:sSub>
      </m:oMath>
      <w:r>
        <w:t xml:space="preserve">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w:t>
      </w:r>
      <w:r>
        <w:t xml:space="preserve"> </w:t>
      </w:r>
      <m:oMath>
        <m:sSub>
          <m:e>
            <m:r>
              <m:rPr>
                <m:nor/>
                <m:sty m:val="p"/>
              </m:rPr>
              <m:t>DAI</m:t>
            </m:r>
          </m:e>
          <m:sub>
            <m:r>
              <m:t>r</m:t>
            </m:r>
          </m:sub>
        </m:sSub>
      </m:oMath>
      <w:r>
        <w:t xml:space="preserve">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w:t>
      </w:r>
      <w:r>
        <w:t xml:space="preserve"> </w:t>
      </w:r>
      <m:oMath>
        <m:sSub>
          <m:e>
            <m:r>
              <m:rPr>
                <m:nor/>
                <m:sty m:val="p"/>
              </m:rPr>
              <m:t>DAI</m:t>
            </m:r>
          </m:e>
          <m:sub>
            <m:r>
              <m:t>z</m:t>
            </m:r>
          </m:sub>
        </m:sSub>
      </m:oMath>
      <w:r>
        <w:t xml:space="preserve"> </w:t>
      </w:r>
      <w:r>
        <w:t xml:space="preserve">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best read as construct-tier obsolescence: Tier-1 website presence has become a minimum-threshold credential in Vietnam's maturing digital environment and no longer differentiates firms' cross-border coordination capacity at high export intensity. The</w:t>
      </w:r>
      <w:r>
        <w:t xml:space="preserve"> </w:t>
      </w:r>
      <m:oMath>
        <m:sSub>
          <m:e>
            <m:r>
              <m:rPr>
                <m:nor/>
                <m:sty m:val="p"/>
              </m:rPr>
              <m:t>DAI</m:t>
            </m:r>
          </m:e>
          <m:sub>
            <m:r>
              <m:t>r</m:t>
            </m:r>
          </m:sub>
        </m:sSub>
      </m:oMath>
      <w:r>
        <w:t xml:space="preserve">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w:t>
      </w:r>
      <w:r>
        <w:t xml:space="preserve"> </w:t>
      </w:r>
      <m:oMath>
        <m:sSub>
          <m:e>
            <m:r>
              <m:rPr>
                <m:nor/>
                <m:sty m:val="p"/>
              </m:rPr>
              <m:t>DAI</m:t>
            </m:r>
          </m:e>
          <m:sub>
            <m:r>
              <m:t>z</m:t>
            </m:r>
          </m:sub>
        </m:sSub>
      </m:oMath>
      <w:r>
        <w:t xml:space="preserve"> </w:t>
      </w:r>
      <w:r>
        <w:t xml:space="preserve">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w:t>
      </w:r>
      <w:r>
        <w:t xml:space="preserve"> </w:t>
      </w:r>
      <m:oMath>
        <m:sSub>
          <m:e>
            <m:r>
              <m:rPr>
                <m:nor/>
                <m:sty m:val="p"/>
              </m:rPr>
              <m:t>DAI</m:t>
            </m:r>
          </m:e>
          <m:sub>
            <m:r>
              <m:t>r</m:t>
            </m:r>
          </m:sub>
        </m:sSub>
      </m:oMath>
      <w:r>
        <w:t xml:space="preserve">ich robustness extension (Section 4.5 Panel B) applies the 2023-wave Tier-2 items precisely as a within-wave sensitivity probe to assess whether the primary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within each wave independently so that coefficients are comparable in magnitude across waves. Turning-point formula: TP* = −</w:t>
      </w:r>
      <m:oMath>
        <m:sSub>
          <m:e>
            <m:r>
              <m:t>β</m:t>
            </m:r>
          </m:e>
          <m:sub>
            <m:r>
              <m:t>1</m:t>
            </m:r>
          </m:sub>
        </m:sSub>
      </m:oMath>
      <w:r>
        <w:t xml:space="preserve"> </w:t>
      </w:r>
      <w:r>
        <w:t xml:space="preserve">/ (2</w:t>
      </w:r>
      <m:oMath>
        <m:sSub>
          <m:e>
            <m:r>
              <m:t>β</m:t>
            </m:r>
          </m:e>
          <m:sub>
            <m:r>
              <m:t>2</m:t>
            </m:r>
          </m:sub>
        </m:sSub>
      </m:oMath>
      <w:r>
        <w:t xml:space="preserve">);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w:t>
      </w:r>
      <w:r>
        <w:t xml:space="preserve"> </w:t>
      </w:r>
      <m:oMath>
        <m:sSub>
          <m:e>
            <m:r>
              <m:rPr>
                <m:nor/>
                <m:sty m:val="p"/>
              </m:rPr>
              <m:t>TCI</m:t>
            </m:r>
          </m:e>
          <m:sub>
            <m:r>
              <m:t>z</m:t>
            </m:r>
          </m:sub>
        </m:sSub>
      </m:oMath>
      <w:r>
        <w:t xml:space="preserve">,</w:t>
      </w:r>
      <w:r>
        <w:t xml:space="preserve"> </w:t>
      </w:r>
      <m:oMath>
        <m:sSub>
          <m:e>
            <m:r>
              <m:rPr>
                <m:nor/>
                <m:sty m:val="p"/>
              </m:rPr>
              <m:t>DAI</m:t>
            </m:r>
          </m:e>
          <m:sub>
            <m:r>
              <m:t>z</m:t>
            </m:r>
          </m:sub>
        </m:sSub>
      </m:oMath>
      <w:r>
        <w:t xml:space="preserve">,</w:t>
      </w:r>
      <w:r>
        <w:t xml:space="preserve"> </w:t>
      </w:r>
      <w:r>
        <w:t xml:space="preserve">sector1). The resulting analytic samples are 989, 956, and 1,013 observations for 2009, 2015,</w:t>
      </w:r>
      <w:r>
        <w:t xml:space="preserve"> </w:t>
      </w:r>
      <w:r>
        <w:t xml:space="preserve">and 2023 respectively; pooled N is 2,958.</w:t>
      </w:r>
    </w:p>
    <w:bookmarkEnd w:id="40"/>
    <w:bookmarkStart w:id="41"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w:t>
      </w:r>
      <w:r>
        <w:t xml:space="preserve"> </w:t>
      </w:r>
      <m:oMath>
        <m:sSub>
          <m:e>
            <m:r>
              <m:rPr>
                <m:nor/>
                <m:sty m:val="p"/>
              </m:rPr>
              <m:t>FSTS</m:t>
            </m:r>
          </m:e>
          <m:sub>
            <m:r>
              <m:t>c</m:t>
            </m:r>
          </m:sub>
        </m:sSub>
      </m:oMath>
      <w:r>
        <w:t xml:space="preserve">. A nonlinear model adds the quadratic term</w:t>
      </w:r>
      <w:r>
        <w:t xml:space="preserve"> </w:t>
      </w:r>
      <m:oMath>
        <m:sSubSup>
          <m:e>
            <m:r>
              <m:rPr>
                <m:nor/>
                <m:sty m:val="p"/>
              </m:rPr>
              <m:t>FSTS</m:t>
            </m:r>
          </m:e>
          <m:sub>
            <m:r>
              <m:t>c</m:t>
            </m:r>
          </m:sub>
          <m:sup>
            <m:r>
              <m:t>2</m:t>
            </m:r>
          </m:sup>
        </m:sSubSup>
      </m:oMath>
      <w:r>
        <w:t xml:space="preserve"> </w:t>
      </w:r>
      <w:r>
        <w:t xml:space="preserve">to test for curvature. Additional models introduce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separately, first in specifications that allow interaction terms with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w:t>
      </w:r>
      <w:r>
        <w:t xml:space="preserve"> </w:t>
      </w:r>
      <m:oMath>
        <m:sSub>
          <m:e>
            <m:r>
              <m:rPr>
                <m:nor/>
                <m:sty m:val="p"/>
              </m:rPr>
              <m:t>FSTS</m:t>
            </m:r>
          </m:e>
          <m:sub>
            <m:r>
              <m:t>c</m:t>
            </m:r>
          </m:sub>
        </m:sSub>
      </m:oMath>
      <w:r>
        <w:t xml:space="preserve">_it the within-wave mean-centred export intensity, and</w:t>
      </w:r>
      <w:r>
        <w:t xml:space="preserve"> </w:t>
      </w:r>
      <w:r>
        <w:rPr>
          <w:bCs/>
          <w:b/>
        </w:rPr>
        <w:t xml:space="preserve">X</w:t>
      </w:r>
      <w:r>
        <w:t xml:space="preserve">_it the vector of controls (lnEmp, FirmAge, ForeignOwned); δ_s denotes sector fixed effects and</w:t>
      </w:r>
      <w:r>
        <w:t xml:space="preserve"> </w:t>
      </w:r>
      <m:oMath>
        <m:r>
          <m:t>λ</m:t>
        </m:r>
      </m:oMath>
      <w:r>
        <w:t xml:space="preserve">_t wave fixed effects (pooled specifications only):</w:t>
      </w:r>
    </w:p>
    <w:p>
      <w:pPr>
        <w:pStyle w:val="BodyText"/>
      </w:pPr>
      <w:r>
        <w:rPr>
          <w:bCs/>
          <w:b/>
        </w:rPr>
        <w:t xml:space="preserve">M0, Baseline controls:</w:t>
      </w:r>
      <w:r>
        <w:t xml:space="preserve"> </w:t>
      </w:r>
      <w:r>
        <w:t xml:space="preserve">lnLP_it =</w:t>
      </w:r>
      <w:r>
        <w:t xml:space="preserve"> </w:t>
      </w:r>
      <m:oMath>
        <m:r>
          <m:t>α</m:t>
        </m:r>
      </m:oMath>
      <w:r>
        <w:t xml:space="preserve"> </w:t>
      </w:r>
      <w:r>
        <w:t xml:space="preserve">+</w:t>
      </w:r>
      <w:r>
        <w:t xml:space="preserve"> </w:t>
      </w:r>
      <m:oMath>
        <m:r>
          <m:t>γ</m:t>
        </m:r>
      </m:oMath>
      <w:r>
        <w:t xml:space="preserve">₁ lnEmp_it +</w:t>
      </w:r>
      <w:r>
        <w:t xml:space="preserve"> </w:t>
      </w:r>
      <m:oMath>
        <m:r>
          <m:t>γ</m:t>
        </m:r>
      </m:oMath>
      <w:r>
        <w:t xml:space="preserve">₂ FirmAge_it +</w:t>
      </w:r>
      <w:r>
        <w:t xml:space="preserve"> </w:t>
      </w:r>
      <m:oMath>
        <m:r>
          <m:t>γ</m:t>
        </m:r>
      </m:oMath>
      <w:r>
        <w:t xml:space="preserve">₃ ForeignOwned_it + δ_s + [</w:t>
      </w:r>
      <m:oMath>
        <m:r>
          <m:t>λ</m:t>
        </m:r>
      </m:oMath>
      <w:r>
        <w:t xml:space="preserve">_t] +</w:t>
      </w:r>
      <w:r>
        <w:t xml:space="preserve"> </w:t>
      </w:r>
      <m:oMath>
        <m:r>
          <m:t>ϵ</m:t>
        </m:r>
      </m:oMath>
      <w:r>
        <w:t xml:space="preserve">_it</w:t>
      </w:r>
    </w:p>
    <w:p>
      <w:pPr>
        <w:pStyle w:val="BodyText"/>
      </w:pPr>
      <w:r>
        <w:rPr>
          <w:bCs/>
          <w:b/>
        </w:rPr>
        <w:t xml:space="preserve">M1, Linear internationalisation: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rPr>
          <w:bCs/>
          <w:b/>
        </w:rPr>
        <w:t xml:space="preserve">M2, Quadratic internationalisation (tests H1 inverted-U):</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t xml:space="preserve">H1 requires</w:t>
      </w:r>
      <w:r>
        <w:t xml:space="preserve"> </w:t>
      </w:r>
      <m:oMath>
        <m:sSub>
          <m:e>
            <m:r>
              <m:t>β</m:t>
            </m:r>
          </m:e>
          <m:sub>
            <m:r>
              <m:t>1</m:t>
            </m:r>
          </m:sub>
        </m:sSub>
      </m:oMath>
      <w:r>
        <w:t xml:space="preserve"> </w:t>
      </w:r>
      <w:r>
        <w:t xml:space="preserve">&gt; 0 and</w:t>
      </w:r>
      <w:r>
        <w:t xml:space="preserve"> </w:t>
      </w:r>
      <m:oMath>
        <m:sSub>
          <m:e>
            <m:r>
              <m:t>β</m:t>
            </m:r>
          </m:e>
          <m:sub>
            <m:r>
              <m:t>2</m:t>
            </m:r>
          </m:sub>
        </m:sSub>
      </m:oMath>
      <w:r>
        <w:t xml:space="preserve"> </w:t>
      </w:r>
      <w:r>
        <w:t xml:space="preserve">&lt; 0; the implied turning point is TP* = −</w:t>
      </w:r>
      <m:oMath>
        <m:sSub>
          <m:e>
            <m:r>
              <m:t>β</m:t>
            </m:r>
          </m:e>
          <m:sub>
            <m:r>
              <m:t>1</m:t>
            </m:r>
          </m:sub>
        </m:sSub>
      </m:oMath>
      <w:r>
        <w:t xml:space="preserve"> </w:t>
      </w:r>
      <w:r>
        <w:t xml:space="preserve">/ (2</w:t>
      </w:r>
      <m:oMath>
        <m:sSub>
          <m:e>
            <m:r>
              <m:t>β</m:t>
            </m:r>
          </m:e>
          <m:sub>
            <m:r>
              <m:t>2</m:t>
            </m:r>
          </m:sub>
        </m:sSub>
      </m:oMath>
      <w:r>
        <w:t xml:space="preserve">), confirmed by the Lind–Mehlum (2010) utest.</w:t>
      </w:r>
    </w:p>
    <w:p>
      <w:pPr>
        <w:pStyle w:val="BodyText"/>
      </w:pPr>
      <w:r>
        <w:rPr>
          <w:bCs/>
          <w:b/>
        </w:rPr>
        <w:t xml:space="preserve">M3, TCI moderation (tests H2):</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TCI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M4, DAI moderation (exploratory H4):</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M5, TCI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M6, DAI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M7, Dual-direct, no interactions:</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M8, Full model (dual-direct + DAI moderation):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sSub>
          <m:e>
            <m:r>
              <m:t>β</m:t>
            </m:r>
          </m:e>
          <m:sub>
            <m:r>
              <m:t>5</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6</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t xml:space="preserve">All models are estimated by OLS with HC1 heteroscedasticity-consistent standard errors. Wave fixed effects (</w:t>
      </w:r>
      <m:oMath>
        <m:r>
          <m:t>λ</m:t>
        </m:r>
      </m:oMath>
      <w:r>
        <w:t xml:space="preserve">_t) are included in pooled specifications only. The M0–M8 sequence is estimated wave-by-wave and jointly on the pooled three-wave file, yielding four sets of estimates (2009, 2015, 2023, pooled).</w:t>
      </w:r>
    </w:p>
    <w:bookmarkEnd w:id="41"/>
    <w:bookmarkStart w:id="42"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w:t>
      </w:r>
      <w:r>
        <w:t xml:space="preserve"> </w:t>
      </w:r>
      <m:oMath>
        <m:r>
          <m:rPr>
            <m:sty m:val="p"/>
          </m:rPr>
          <m:t>×</m:t>
        </m:r>
      </m:oMath>
      <w:r>
        <w:t xml:space="preserve"> </w:t>
      </w:r>
      <w:r>
        <w:t xml:space="preserve">region</w:t>
      </w:r>
      <w:r>
        <w:t xml:space="preserve"> </w:t>
      </w:r>
      <m:oMath>
        <m:r>
          <m:rPr>
            <m:sty m:val="p"/>
          </m:rPr>
          <m:t>×</m:t>
        </m:r>
      </m:oMath>
      <w:r>
        <w:t xml:space="preserve"> </w:t>
      </w:r>
      <w:r>
        <w:t xml:space="preserve">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w:t>
      </w:r>
      <w:r>
        <w:t xml:space="preserve"> </w:t>
      </w:r>
      <m:oMath>
        <m:sSup>
          <m:e>
            <m:r>
              <m:t>R</m:t>
            </m:r>
          </m:e>
          <m:sup>
            <m:r>
              <m:t>2</m:t>
            </m:r>
          </m:sup>
        </m:sSup>
      </m:oMath>
      <w:r>
        <w:t xml:space="preserve">_max = 1.3</w:t>
      </w:r>
      <w:r>
        <w:t xml:space="preserve"> </w:t>
      </w:r>
      <m:oMath>
        <m:r>
          <m:rPr>
            <m:sty m:val="p"/>
          </m:rPr>
          <m:t>×</m:t>
        </m:r>
      </m:oMath>
      <w:r>
        <w:t xml:space="preserve"> </w:t>
      </w:r>
      <m:oMath>
        <m:sSup>
          <m:e>
            <m:r>
              <m:t>R</m:t>
            </m:r>
          </m:e>
          <m:sup>
            <m:r>
              <m:t>2</m:t>
            </m:r>
          </m:sup>
        </m:sSup>
      </m:oMath>
      <w:r>
        <w:t xml:space="preserve">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2"/>
    <w:bookmarkStart w:id="43"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3"/>
    <w:bookmarkEnd w:id="44"/>
    <w:bookmarkStart w:id="67"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6"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w:t>
      </w:r>
      <m:oMath>
        <m:r>
          <m:t>β</m:t>
        </m:r>
      </m:oMath>
      <w:r>
        <w:t xml:space="preserve"> </w:t>
      </w:r>
      <w:r>
        <w:t xml:space="preserve">= 1.045, p = .015) and a negative quadratic term (</w:t>
      </w:r>
      <m:oMath>
        <m:r>
          <m:t>β</m:t>
        </m:r>
      </m:oMath>
      <w:r>
        <w:t xml:space="preserve"> </w:t>
      </w:r>
      <w:r>
        <w:t xml:space="preserve">=</w:t>
      </w:r>
      <w:r>
        <w:t xml:space="preserve"> </w:t>
      </w:r>
      <w:r>
        <w:t xml:space="preserve">-1.774, p = .009); the Lind–Mehlum test rejects monotonicity at p = .006. In the dual-direct</w:t>
      </w:r>
      <w:r>
        <w:t xml:space="preserve"> </w:t>
      </w:r>
      <w:r>
        <w:t xml:space="preserve">specification (M7) both</w:t>
      </w:r>
      <w:r>
        <w:t xml:space="preserve"> </w:t>
      </w:r>
      <m:oMath>
        <m:sSub>
          <m:e>
            <m:r>
              <m:rPr>
                <m:nor/>
                <m:sty m:val="p"/>
              </m:rPr>
              <m:t>TCI</m:t>
            </m:r>
          </m:e>
          <m:sub>
            <m:r>
              <m:t>z</m:t>
            </m:r>
          </m:sub>
        </m:sSub>
      </m:oMath>
      <w:r>
        <w:t xml:space="preserve"> </w:t>
      </w:r>
      <w:r>
        <w:t xml:space="preserve">(</w:t>
      </w:r>
      <m:oMath>
        <m:r>
          <m:t>β</m:t>
        </m:r>
      </m:oMath>
      <w:r>
        <w:t xml:space="preserve"> </w:t>
      </w:r>
      <w:r>
        <w:t xml:space="preserve">= 0.215, p &lt; .001) and</w:t>
      </w:r>
      <w:r>
        <w:t xml:space="preserve"> </w:t>
      </w:r>
      <m:oMath>
        <m:sSub>
          <m:e>
            <m:r>
              <m:rPr>
                <m:nor/>
                <m:sty m:val="p"/>
              </m:rPr>
              <m:t>DAI</m:t>
            </m:r>
          </m:e>
          <m:sub>
            <m:r>
              <m:t>z</m:t>
            </m:r>
          </m:sub>
        </m:sSub>
      </m:oMath>
      <w:r>
        <w:t xml:space="preserve"> </w:t>
      </w:r>
      <w:r>
        <w:t xml:space="preserve">(</w:t>
      </w:r>
      <m:oMath>
        <m:r>
          <m:t>β</m:t>
        </m:r>
      </m:oMath>
      <w:r>
        <w:t xml:space="preserve"> </w:t>
      </w:r>
      <w:r>
        <w:t xml:space="preserve">= 0.175, p &lt; .001) are</w:t>
      </w:r>
      <w:r>
        <w:t xml:space="preserve"> </w:t>
      </w:r>
      <w:r>
        <w:t xml:space="preserve">positive. TCI moderation is statistically distinguishable from zero (M3 joint p = .040;</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5">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r>
        <w:t xml:space="preserve"> </w:t>
      </w:r>
      <m:oMath>
        <m:sSub>
          <m:e>
            <m:r>
              <m:rPr>
                <m:nor/>
                <m:sty m:val="p"/>
              </m:rPr>
              <m:t>FSTS</m:t>
            </m:r>
          </m:e>
          <m:sub>
            <m:r>
              <m:t>c</m:t>
            </m:r>
          </m:sub>
        </m:sSub>
      </m:oMath>
      <w:r>
        <w:t xml:space="preserve"> </w:t>
      </w:r>
      <m:oMath>
        <m:r>
          <m:t>β</m:t>
        </m:r>
      </m:oMath>
      <w:r>
        <w:t xml:space="preserve"> </w:t>
      </w:r>
      <w:r>
        <w:t xml:space="preserve">= 1.159 (p = .029) and</w:t>
      </w:r>
      <w:r>
        <w:t xml:space="preserve"> </w:t>
      </w:r>
      <m:oMath>
        <m:sSubSup>
          <m:e>
            <m:r>
              <m:rPr>
                <m:nor/>
                <m:sty m:val="p"/>
              </m:rPr>
              <m:t>FSTS</m:t>
            </m:r>
          </m:e>
          <m:sub>
            <m:r>
              <m:t>c</m:t>
            </m:r>
          </m:sub>
          <m:sup>
            <m:r>
              <m:t>2</m:t>
            </m:r>
          </m:sup>
        </m:sSubSup>
      </m:oMath>
      <w:r>
        <w:t xml:space="preserve"> </w:t>
      </w:r>
      <m:oMath>
        <m:r>
          <m:t>β</m:t>
        </m:r>
      </m:oMath>
      <w:r>
        <w:t xml:space="preserve"> </w:t>
      </w:r>
      <w:r>
        <w:t xml:space="preserve">= -2.115 (p = .004), with Lind–Mehlum p = .009.</w:t>
      </w:r>
      <w:r>
        <w:t xml:space="preserve"> </w:t>
      </w:r>
      <m:oMath>
        <m:sSub>
          <m:e>
            <m:r>
              <m:rPr>
                <m:nor/>
                <m:sty m:val="p"/>
              </m:rPr>
              <m:t>TCI</m:t>
            </m:r>
          </m:e>
          <m:sub>
            <m:r>
              <m:t>z</m:t>
            </m:r>
          </m:sub>
        </m:sSub>
      </m:oMath>
      <w:r>
        <w:t xml:space="preserve"> </w:t>
      </w:r>
      <w:r>
        <w:t xml:space="preserve">retains a positive direct association (</w:t>
      </w:r>
      <m:oMath>
        <m:r>
          <m:t>β</m:t>
        </m:r>
      </m:oMath>
      <w:r>
        <w:t xml:space="preserve"> </w:t>
      </w:r>
      <w:r>
        <w:t xml:space="preserve">= 0.128, p = .010) but at roughly 60 per</w:t>
      </w:r>
      <w:r>
        <w:t xml:space="preserve"> </w:t>
      </w:r>
      <w:r>
        <w:t xml:space="preserve">cent of the 2009 magnitude.</w:t>
      </w:r>
      <w:r>
        <w:t xml:space="preserve"> </w:t>
      </w:r>
      <m:oMath>
        <m:sSub>
          <m:e>
            <m:r>
              <m:rPr>
                <m:nor/>
                <m:sty m:val="p"/>
              </m:rPr>
              <m:t>DAI</m:t>
            </m:r>
          </m:e>
          <m:sub>
            <m:r>
              <m:t>z</m:t>
            </m:r>
          </m:sub>
        </m:sSub>
      </m:oMath>
      <w:r>
        <w:t xml:space="preserve"> </w:t>
      </w:r>
      <w:r>
        <w:t xml:space="preserve">loses direct salience entirely (</w:t>
      </w:r>
      <m:oMath>
        <m:r>
          <m:t>β</m:t>
        </m:r>
      </m:oMath>
      <w:r>
        <w:t xml:space="preserve"> </w:t>
      </w:r>
      <w:r>
        <w:t xml:space="preserve">=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w:t>
      </w:r>
      <m:oMath>
        <m:sSub>
          <m:e>
            <m:r>
              <m:rPr>
                <m:nor/>
                <m:sty m:val="p"/>
              </m:rPr>
              <m:t>FSTS</m:t>
            </m:r>
          </m:e>
          <m:sub>
            <m:r>
              <m:t>c</m:t>
            </m:r>
          </m:sub>
        </m:sSub>
      </m:oMath>
      <w:r>
        <w:t xml:space="preserve"> </w:t>
      </w:r>
      <m:oMath>
        <m:r>
          <m:t>β</m:t>
        </m:r>
      </m:oMath>
      <w:r>
        <w:t xml:space="preserve"> </w:t>
      </w:r>
      <w:r>
        <w:t xml:space="preserve">= 0.962, p = .039;</w:t>
      </w:r>
      <w:r>
        <w:t xml:space="preserve"> </w:t>
      </w:r>
      <m:oMath>
        <m:sSubSup>
          <m:e>
            <m:r>
              <m:rPr>
                <m:nor/>
                <m:sty m:val="p"/>
              </m:rPr>
              <m:t>FSTS</m:t>
            </m:r>
          </m:e>
          <m:sub>
            <m:r>
              <m:t>c</m:t>
            </m:r>
          </m:sub>
          <m:sup>
            <m:r>
              <m:t>2</m:t>
            </m:r>
          </m:sup>
        </m:sSubSup>
      </m:oMath>
      <w:r>
        <w:t xml:space="preserve"> </w:t>
      </w:r>
      <m:oMath>
        <m:r>
          <m:t>β</m:t>
        </m:r>
      </m:oMath>
      <w:r>
        <w:t xml:space="preserve"> </w:t>
      </w:r>
      <w:r>
        <w:t xml:space="preserve">= -1.686, p = .008; Lind–Mehlum p = .013). In the dual-direct M7, both capability dimensions are positive and significant (</w:t>
      </w:r>
      <m:oMath>
        <m:sSub>
          <m:e>
            <m:r>
              <m:rPr>
                <m:nor/>
                <m:sty m:val="p"/>
              </m:rPr>
              <m:t>TCI</m:t>
            </m:r>
          </m:e>
          <m:sub>
            <m:r>
              <m:t>z</m:t>
            </m:r>
          </m:sub>
        </m:sSub>
      </m:oMath>
      <w:r>
        <w:t xml:space="preserve"> </w:t>
      </w:r>
      <m:oMath>
        <m:r>
          <m:t>β</m:t>
        </m:r>
      </m:oMath>
      <w:r>
        <w:t xml:space="preserve"> </w:t>
      </w:r>
      <w:r>
        <w:t xml:space="preserve">= 0.123, p = .006;</w:t>
      </w:r>
      <w:r>
        <w:t xml:space="preserve"> </w:t>
      </w:r>
      <m:oMath>
        <m:sSub>
          <m:e>
            <m:r>
              <m:rPr>
                <m:nor/>
                <m:sty m:val="p"/>
              </m:rPr>
              <m:t>DAI</m:t>
            </m:r>
          </m:e>
          <m:sub>
            <m:r>
              <m:t>z</m:t>
            </m:r>
          </m:sub>
        </m:sSub>
      </m:oMath>
      <w:r>
        <w:t xml:space="preserve"> </w:t>
      </w:r>
      <m:oMath>
        <m:r>
          <m:t>β</m:t>
        </m:r>
      </m:oMath>
      <w:r>
        <w:t xml:space="preserve"> </w:t>
      </w:r>
      <w:r>
        <w:t xml:space="preserve">= 0.095, p = .038). When the DAI interaction terms are added in M8, the linear interaction is negative and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-0.912, p = .043), the quadratic interaction is positive but does not reach conventional significance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w:t>
      </w:r>
      <m:oMath>
        <m:r>
          <m:t>β</m:t>
        </m:r>
      </m:oMath>
      <w:r>
        <w:t xml:space="preserve">=0.018,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w:t>
      </w:r>
      <w:r>
        <w:t xml:space="preserve"> </w:t>
      </w:r>
      <m:oMath>
        <m:r>
          <m:rPr>
            <m:nor/>
            <m:sty m:val="p"/>
          </m:rPr>
          <m:t>DAI</m:t>
        </m:r>
        <m:r>
          <m:rPr>
            <m:sty m:val="p"/>
          </m:rPr>
          <m:t>×</m:t>
        </m:r>
        <m:r>
          <m:rPr>
            <m:nor/>
            <m:sty m:val="p"/>
          </m:rPr>
          <m:t>FSTS</m:t>
        </m:r>
      </m:oMath>
      <w:r>
        <w:t xml:space="preserve"> </w:t>
      </w:r>
      <w:r>
        <w:t xml:space="preserve">interaction without requiring that "digital adoption is bad", instead, the instrument has lost its discriminatory power as Tier 1 adoption has diffused to near-universal levels (49.8% in 2023 vs 42.5% in 2009). The</w:t>
      </w:r>
      <w:r>
        <w:t xml:space="preserve"> </w:t>
      </w:r>
      <m:oMath>
        <m:sSub>
          <m:e>
            <m:r>
              <m:rPr>
                <m:nor/>
                <m:sty m:val="p"/>
              </m:rPr>
              <m:t>DAI</m:t>
            </m:r>
          </m:e>
          <m:sub>
            <m:r>
              <m:t>r</m:t>
            </m:r>
          </m:sub>
        </m:sSub>
      </m:oMath>
      <w:r>
        <w:t xml:space="preserve">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w:t>
      </w:r>
      <m:oMath>
        <m:sSub>
          <m:e>
            <m:r>
              <m:rPr>
                <m:nor/>
                <m:sty m:val="p"/>
              </m:rPr>
              <m:t>TCI</m:t>
            </m:r>
          </m:e>
          <m:sub>
            <m:r>
              <m:t>z</m:t>
            </m:r>
          </m:sub>
        </m:sSub>
      </m:oMath>
      <w:r>
        <w:t xml:space="preserve"> </w:t>
      </w:r>
      <w:r>
        <w:t xml:space="preserve">= 0.215 to 0.128 to 0.123) but with moderation</w:t>
      </w:r>
    </w:p>
    <w:p>
      <w:pPr>
        <w:pStyle w:val="BodyText"/>
      </w:pPr>
      <w:r>
        <w:t xml:space="preserve">that survives in the 2009, 2023 and pooled panels. Website-based digital presence follows a nonmonotonic trajectory, strong in 2009 (</w:t>
      </w:r>
      <m:oMath>
        <m:r>
          <m:t>β</m:t>
        </m:r>
      </m:oMath>
      <w:r>
        <w:t xml:space="preserve"> </w:t>
      </w:r>
      <w:r>
        <w:t xml:space="preserve">= 0.175 ***), null in 2015 (</w:t>
      </w:r>
      <m:oMath>
        <m:r>
          <m:t>β</m:t>
        </m:r>
      </m:oMath>
      <w:r>
        <w:t xml:space="preserve"> </w:t>
      </w:r>
      <w:r>
        <w:t xml:space="preserve">= -0.044 n.s.), and</w:t>
      </w:r>
      <w:r>
        <w:t xml:space="preserve"> </w:t>
      </w:r>
      <w:r>
        <w:t xml:space="preserve">re-emerging in 2023 (</w:t>
      </w:r>
      <m:oMath>
        <m:r>
          <m:t>β</m:t>
        </m:r>
      </m:oMath>
      <w:r>
        <w:t xml:space="preserve"> </w:t>
      </w:r>
      <w:r>
        <w:t xml:space="preserve">= 0.095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w:t>
      </w:r>
      <w:r>
        <w:t xml:space="preserve"> </w:t>
      </w:r>
      <m:oMath>
        <m:r>
          <m:rPr>
            <m:sty m:val="p"/>
          </m:rPr>
          <m:t>×</m:t>
        </m:r>
      </m:oMath>
      <w:r>
        <w:t xml:space="preserve"> </w:t>
      </w:r>
      <w:r>
        <w:t xml:space="preserve">focal interaction test (reported as Panel I in 4.5)</w:t>
      </w:r>
    </w:p>
    <w:p>
      <w:pPr>
        <w:pStyle w:val="BodyText"/>
      </w:pPr>
      <w:r>
        <w:t xml:space="preserve">suggests that only the DAI direct shifts are cross-wave-distinguishable; the FSTS curvature and</w:t>
      </w:r>
      <w:r>
        <w:t xml:space="preserve"> </w:t>
      </w:r>
      <w:r>
        <w:t xml:space="preserve">the</w:t>
      </w:r>
      <w:r>
        <w:t xml:space="preserve"> </w:t>
      </w:r>
      <m:oMath>
        <m:r>
          <m:rPr>
            <m:nor/>
            <m:sty m:val="p"/>
          </m:rPr>
          <m:t>FSTS</m:t>
        </m:r>
        <m:r>
          <m:rPr>
            <m:sty m:val="p"/>
          </m:rPr>
          <m:t>×</m:t>
        </m:r>
        <m:r>
          <m:rPr>
            <m:nor/>
            <m:sty m:val="p"/>
          </m:rPr>
          <m:t>DAI</m:t>
        </m:r>
      </m:oMath>
      <w:r>
        <w:t xml:space="preserve"> </w:t>
      </w:r>
      <w:r>
        <w:t xml:space="preserve">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w:t>
      </w:r>
      <m:oMath>
        <m:sSubSup>
          <m:e>
            <m:r>
              <m:rPr>
                <m:nor/>
                <m:sty m:val="p"/>
              </m:rPr>
              <m:t>FSTS</m:t>
            </m:r>
          </m:e>
          <m:sub>
            <m:r>
              <m:t>c</m:t>
            </m:r>
          </m:sub>
          <m:sup>
            <m:r>
              <m:t>2</m:t>
            </m:r>
          </m:sup>
        </m:sSubSup>
      </m:oMath>
      <w:r>
        <w:t xml:space="preserve"> </w:t>
      </w:r>
      <w:r>
        <w:t xml:space="preserve">= -2.115, p = .004 in M2) but the digital channel compresses entirely:</w:t>
      </w:r>
      <w:r>
        <w:t xml:space="preserve"> </w:t>
      </w:r>
      <m:oMath>
        <m:sSub>
          <m:e>
            <m:r>
              <m:rPr>
                <m:nor/>
                <m:sty m:val="p"/>
              </m:rPr>
              <m:t>DAI</m:t>
            </m:r>
          </m:e>
          <m:sub>
            <m:r>
              <m:t>z</m:t>
            </m:r>
          </m:sub>
        </m:sSub>
      </m:oMath>
      <w:r>
        <w:t xml:space="preserve"> </w:t>
      </w:r>
      <w:r>
        <w:t xml:space="preserve">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suggests that this conditional channel binds primarily at</w:t>
      </w:r>
      <w:r>
        <w:t xml:space="preserve"> </w:t>
      </w:r>
      <w:r>
        <w:t xml:space="preserve">higher export intensity rather than uniformly across the export-intensity range.</w:t>
      </w:r>
    </w:p>
    <w:bookmarkEnd w:id="46"/>
    <w:bookmarkStart w:id="59"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w:t>
      </w:r>
      <w:r>
        <w:t xml:space="preserve"> </w:t>
      </w:r>
      <m:oMath>
        <m:sSub>
          <m:e>
            <m:r>
              <m:rPr>
                <m:nor/>
                <m:sty m:val="p"/>
              </m:rPr>
              <m:t>FSTS</m:t>
            </m:r>
          </m:e>
          <m:sub>
            <m:r>
              <m:t>c</m:t>
            </m:r>
          </m:sub>
        </m:sSub>
      </m:oMath>
      <w:r>
        <w:t xml:space="preserve"> </w:t>
      </w:r>
      <w:r>
        <w:t xml:space="preserve">term is positive (</w:t>
      </w:r>
      <m:oMath>
        <m:r>
          <m:t>β</m:t>
        </m:r>
      </m:oMath>
      <w:r>
        <w:t xml:space="preserve"> </w:t>
      </w:r>
      <w:r>
        <w:t xml:space="preserve">= 0.984, p &lt; .001) and the quadratic</w:t>
      </w:r>
      <w:r>
        <w:t xml:space="preserve"> </w:t>
      </w:r>
      <m:oMath>
        <m:sSubSup>
          <m:e>
            <m:r>
              <m:rPr>
                <m:nor/>
                <m:sty m:val="p"/>
              </m:rPr>
              <m:t>FSTS</m:t>
            </m:r>
          </m:e>
          <m:sub>
            <m:r>
              <m:t>c</m:t>
            </m:r>
          </m:sub>
          <m:sup>
            <m:r>
              <m:t>2</m:t>
            </m:r>
          </m:sup>
        </m:sSubSup>
      </m:oMath>
      <w:r>
        <w:t xml:space="preserve"> </w:t>
      </w:r>
      <w:r>
        <w:t xml:space="preserve">term is negative (</w:t>
      </w:r>
      <m:oMath>
        <m:r>
          <m:t>β</m:t>
        </m:r>
      </m:oMath>
      <w:r>
        <w:t xml:space="preserve"> </w:t>
      </w:r>
      <w:r>
        <w:t xml:space="preserve">= -1.909, p &lt; .001); the Lind–Mehlum test rejects monotonicity at p &lt; .001 with an estimated turning point at 39.7 per cent of direct-export intensity. Following Haans, Pieters, and He (2016), all four formal conditions for a genuine inverted-U are met: (C1)</w:t>
      </w:r>
      <w:r>
        <w:t xml:space="preserve"> </w:t>
      </w:r>
      <m:oMath>
        <m:sSub>
          <m:e>
            <m:r>
              <m:t>β</m:t>
            </m:r>
          </m:e>
          <m:sub>
            <m:r>
              <m:t>1</m:t>
            </m:r>
          </m:sub>
        </m:sSub>
      </m:oMath>
      <w:r>
        <w:t xml:space="preserve"> </w:t>
      </w:r>
      <w:r>
        <w:t xml:space="preserve">= +0.984 (p &lt; .001), confirming a positive ascending limb; (C2)</w:t>
      </w:r>
      <w:r>
        <w:t xml:space="preserve"> </w:t>
      </w:r>
      <m:oMath>
        <m:sSub>
          <m:e>
            <m:r>
              <m:t>β</m:t>
            </m:r>
          </m:e>
          <m:sub>
            <m:r>
              <m:t>2</m:t>
            </m:r>
          </m:sub>
        </m:sSub>
      </m:oMath>
      <w:r>
        <w:t xml:space="preserve"> </w:t>
      </w:r>
      <w:r>
        <w:t xml:space="preserve">= −1.909 (p &lt; .001), confirming concavity; (C3) TP* = −</w:t>
      </w:r>
      <m:oMath>
        <m:sSub>
          <m:e>
            <m:r>
              <m:t>β</m:t>
            </m:r>
          </m:e>
          <m:sub>
            <m:r>
              <m:t>1</m:t>
            </m:r>
          </m:sub>
        </m:sSub>
      </m:oMath>
      <w:r>
        <w:t xml:space="preserve">/(2</w:t>
      </w:r>
      <m:oMath>
        <m:sSub>
          <m:e>
            <m:r>
              <m:t>β</m:t>
            </m:r>
          </m:e>
          <m:sub>
            <m:r>
              <m:t>2</m:t>
            </m:r>
          </m:sub>
        </m:sSub>
      </m:oMath>
      <w:r>
        <w:t xml:space="preserve">) = 39.7% falls within the observed FSTS range [0%, 100%]; and (C4) the predicted marginal return of internationalisation is positive at the lower data bound (FSTS = 0%, slope</w:t>
      </w:r>
      <w:r>
        <w:t xml:space="preserve"> </w:t>
      </w:r>
      <m:oMath>
        <m:r>
          <m:rPr>
            <m:sty m:val="p"/>
          </m:rPr>
          <m:t>≈</m:t>
        </m:r>
      </m:oMath>
      <w:r>
        <w:t xml:space="preserve"> </w:t>
      </w:r>
      <w:r>
        <w:t xml:space="preserve">+1.52) and negative at the upper data bound (FSTS = 100%, slope</w:t>
      </w:r>
      <w:r>
        <w:t xml:space="preserve"> </w:t>
      </w:r>
      <m:oMath>
        <m:r>
          <m:rPr>
            <m:sty m:val="p"/>
          </m:rPr>
          <m:t>≈</m:t>
        </m:r>
      </m:oMath>
      <w:r>
        <w:t xml:space="preserve"> </w:t>
      </w:r>
      <w:r>
        <w:t xml:space="preserve">−2.30), with opposite signs confirmed by the Lind–Mehlum (2010) u-test (p &lt; .001 binding). The curvature persists in the full M8 specification (</w:t>
      </w:r>
      <m:oMath>
        <m:sSub>
          <m:e>
            <m:r>
              <m:rPr>
                <m:nor/>
                <m:sty m:val="p"/>
              </m:rPr>
              <m:t>FSTS</m:t>
            </m:r>
          </m:e>
          <m:sub>
            <m:r>
              <m:t>c</m:t>
            </m:r>
          </m:sub>
        </m:sSub>
      </m:oMath>
      <w:r>
        <w:t xml:space="preserve"> </w:t>
      </w:r>
      <m:oMath>
        <m:r>
          <m:t>β</m:t>
        </m:r>
      </m:oMath>
      <w:r>
        <w:t xml:space="preserve"> </w:t>
      </w:r>
      <w:r>
        <w:t xml:space="preserve">= 0.845, p = .006;</w:t>
      </w:r>
      <w:r>
        <w:t xml:space="preserve"> </w:t>
      </w:r>
      <m:oMath>
        <m:sSubSup>
          <m:e>
            <m:r>
              <m:rPr>
                <m:nor/>
                <m:sty m:val="p"/>
              </m:rPr>
              <m:t>FSTS</m:t>
            </m:r>
          </m:e>
          <m:sub>
            <m:r>
              <m:t>c</m:t>
            </m:r>
          </m:sub>
          <m:sup>
            <m:r>
              <m:t>2</m:t>
            </m:r>
          </m:sup>
        </m:sSubSup>
      </m:oMath>
      <w:r>
        <w:t xml:space="preserve"> </w:t>
      </w:r>
      <m:oMath>
        <m:r>
          <m:t>β</m:t>
        </m:r>
      </m:oMath>
      <w:r>
        <w:t xml:space="preserve"> </w:t>
      </w:r>
      <w:r>
        <w:t xml:space="preserve">=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w:t>
      </w:r>
      <w:r>
        <w:t xml:space="preserve"> </w:t>
      </w:r>
      <m:oMath>
        <m:sSub>
          <m:e>
            <m:r>
              <m:t>β</m:t>
            </m:r>
          </m:e>
          <m:sub>
            <m:r>
              <m:t>1</m:t>
            </m:r>
          </m:sub>
        </m:sSub>
      </m:oMath>
      <w:r>
        <w:t xml:space="preserve"> </w:t>
      </w:r>
      <w:r>
        <w:t xml:space="preserve">+ 2</w:t>
      </w:r>
      <m:oMath>
        <m:sSub>
          <m:e>
            <m:r>
              <m:t>β</m:t>
            </m:r>
          </m:e>
          <m:sub>
            <m:r>
              <m:t>2</m:t>
            </m:r>
          </m:sub>
        </m:sSub>
      </m:oMath>
      <w:r>
        <w:t xml:space="preserve"> </w:t>
      </w:r>
      <m:oMath>
        <m:r>
          <m:rPr>
            <m:sty m:val="p"/>
          </m:rPr>
          <m:t>×</m:t>
        </m:r>
      </m:oMath>
      <w:r>
        <w:t xml:space="preserve"> </w:t>
      </w:r>
      <w:r>
        <w:t xml:space="preserve">(FSTS − mean_FSTS) where</w:t>
      </w:r>
      <w:r>
        <w:t xml:space="preserve"> </w:t>
      </w:r>
      <m:oMath>
        <m:sSub>
          <m:e>
            <m:r>
              <m:t>β</m:t>
            </m:r>
          </m:e>
          <m:sub>
            <m:r>
              <m:t>1</m:t>
            </m:r>
          </m:sub>
        </m:sSub>
      </m:oMath>
      <w:r>
        <w:t xml:space="preserve"> </w:t>
      </w:r>
      <w:r>
        <w:t xml:space="preserve">= 0.984,</w:t>
      </w:r>
      <w:r>
        <w:t xml:space="preserve"> </w:t>
      </w:r>
      <m:oMath>
        <m:sSub>
          <m:e>
            <m:r>
              <m:t>β</m:t>
            </m:r>
          </m:e>
          <m:sub>
            <m:r>
              <m:t>2</m:t>
            </m:r>
          </m:sub>
        </m:sSub>
      </m:oMath>
      <w:r>
        <w:t xml:space="preserve"> </w:t>
      </w:r>
      <w:r>
        <w:t xml:space="preserve">= −1.909, mean_FSTS</w:t>
      </w:r>
      <w:r>
        <w:t xml:space="preserve"> </w:t>
      </w:r>
      <m:oMath>
        <m:r>
          <m:rPr>
            <m:sty m:val="p"/>
          </m:rPr>
          <m:t>≈</m:t>
        </m:r>
      </m:oMath>
      <w:r>
        <w:t xml:space="preserve"> </w:t>
      </w:r>
      <w:r>
        <w:t xml:space="preserve">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w:t>
      </w:r>
      <w:r>
        <w:t xml:space="preserve"> </w:t>
      </w:r>
      <m:oMath>
        <m:sSub>
          <m:e>
            <m:r>
              <m:rPr>
                <m:nor/>
                <m:sty m:val="p"/>
              </m:rPr>
              <m:t>TCI</m:t>
            </m:r>
          </m:e>
          <m:sub>
            <m:r>
              <m:t>z</m:t>
            </m:r>
          </m:sub>
        </m:sSub>
      </m:oMath>
      <w:r>
        <w:t xml:space="preserve"> </w:t>
      </w:r>
      <w:r>
        <w:t xml:space="preserve">is positive (</w:t>
      </w:r>
      <m:oMath>
        <m:r>
          <m:t>β</m:t>
        </m:r>
      </m:oMath>
      <w:r>
        <w:t xml:space="preserve"> </w:t>
      </w:r>
      <w:r>
        <w:t xml:space="preserve">= 0.179, p &lt; .001), and</w:t>
      </w:r>
      <w:r>
        <w:t xml:space="preserve"> </w:t>
      </w:r>
      <m:oMath>
        <m:sSub>
          <m:e>
            <m:r>
              <m:rPr>
                <m:nor/>
                <m:sty m:val="p"/>
              </m:rPr>
              <m:t>DAI</m:t>
            </m:r>
          </m:e>
          <m:sub>
            <m:r>
              <m:t>z</m:t>
            </m:r>
          </m:sub>
        </m:sSub>
      </m:oMath>
      <w:r>
        <w:t xml:space="preserve"> </w:t>
      </w:r>
      <w:r>
        <w:t xml:space="preserve">is positive and significant (</w:t>
      </w:r>
      <m:oMath>
        <m:r>
          <m:t>β</m:t>
        </m:r>
      </m:oMath>
      <w:r>
        <w:t xml:space="preserve"> </w:t>
      </w:r>
      <w:r>
        <w:t xml:space="preserve">= 0.078, p = .004). In the full M8 specification, the</w:t>
      </w:r>
      <w:r>
        <w:t xml:space="preserve"> </w:t>
      </w:r>
      <m:oMath>
        <m:sSub>
          <m:e>
            <m:r>
              <m:rPr>
                <m:nor/>
                <m:sty m:val="p"/>
              </m:rPr>
              <m:t>TCI</m:t>
            </m:r>
          </m:e>
          <m:sub>
            <m:r>
              <m:t>z</m:t>
            </m:r>
          </m:sub>
        </m:sSub>
      </m:oMath>
      <w:r>
        <w:t xml:space="preserve"> </w:t>
      </w:r>
      <w:r>
        <w:t xml:space="preserve">coefficient is essentially unchanged (</w:t>
      </w:r>
      <m:oMath>
        <m:r>
          <m:t>β</m:t>
        </m:r>
      </m:oMath>
      <w:r>
        <w:t xml:space="preserve"> </w:t>
      </w:r>
      <w:r>
        <w:t xml:space="preserve">= 0.184, p &lt; .001), while the</w:t>
      </w:r>
      <w:r>
        <w:t xml:space="preserve"> </w:t>
      </w:r>
      <m:oMath>
        <m:sSub>
          <m:e>
            <m:r>
              <m:rPr>
                <m:nor/>
                <m:sty m:val="p"/>
              </m:rPr>
              <m:t>DAI</m:t>
            </m:r>
          </m:e>
          <m:sub>
            <m:r>
              <m:t>z</m:t>
            </m:r>
          </m:sub>
        </m:sSub>
      </m:oMath>
      <w:r>
        <w:t xml:space="preserve"> </w:t>
      </w:r>
      <w:r>
        <w:t xml:space="preserve">direct coefficient becomes statistically indistinguishable from zero (</w:t>
      </w:r>
      <m:oMath>
        <m:r>
          <m:t>β</m:t>
        </m:r>
      </m:oMath>
      <w:r>
        <w:t xml:space="preserve"> </w:t>
      </w:r>
      <w:r>
        <w:t xml:space="preserve">= 0.032, p = .537) once the interaction terms are entered.</w:t>
      </w:r>
      <w:r>
        <w:t xml:space="preserve"> </w:t>
      </w:r>
      <w:r>
        <w:t xml:space="preserve">This sensitivity is consistent with the interpretation that</w:t>
      </w:r>
      <w:r>
        <w:t xml:space="preserve"> </w:t>
      </w:r>
      <m:oMath>
        <m:sSub>
          <m:e>
            <m:r>
              <m:rPr>
                <m:nor/>
                <m:sty m:val="p"/>
              </m:rPr>
              <m:t>DAI</m:t>
            </m:r>
          </m:e>
          <m:sub>
            <m:r>
              <m:t>z</m:t>
            </m:r>
          </m:sub>
        </m:sSub>
      </m:oMath>
      <w:r>
        <w:t xml:space="preserve"> </w:t>
      </w:r>
      <w:r>
        <w:t xml:space="preserve">combines a positive level effect</w:t>
      </w:r>
      <w:r>
        <w:t xml:space="preserve"> </w:t>
      </w:r>
      <w:r>
        <w:t xml:space="preserve">with a negative interaction with</w:t>
      </w:r>
      <w:r>
        <w:t xml:space="preserve"> </w:t>
      </w:r>
      <m:oMath>
        <m:sSub>
          <m:e>
            <m:r>
              <m:rPr>
                <m:nor/>
                <m:sty m:val="p"/>
              </m:rPr>
              <m:t>FSTS</m:t>
            </m:r>
          </m:e>
          <m:sub>
            <m:r>
              <m:t>c</m:t>
            </m:r>
          </m:sub>
        </m:sSub>
      </m:oMath>
      <w:r>
        <w:t xml:space="preserve"> </w:t>
      </w:r>
      <w:r>
        <w:t xml:space="preserve">at higher export intensities, precisely the pattern</w:t>
      </w:r>
    </w:p>
    <w:p>
      <w:pPr>
        <w:pStyle w:val="BodyText"/>
      </w:pPr>
      <w:r>
        <w:t xml:space="preserve">documented in 4.1 for the 2023 wave.</w:t>
      </w:r>
      <w:r>
        <w:t xml:space="preserve"> </w:t>
      </w:r>
      <w:r>
        <w:t xml:space="preserve">The pooled interaction terms involving</w:t>
      </w:r>
      <w:r>
        <w:t xml:space="preserve"> </w:t>
      </w:r>
      <m:oMath>
        <m:sSub>
          <m:e>
            <m:r>
              <m:rPr>
                <m:nor/>
                <m:sty m:val="p"/>
              </m:rPr>
              <m:t>DAI</m:t>
            </m:r>
          </m:e>
          <m:sub>
            <m:r>
              <m:t>z</m:t>
            </m:r>
          </m:sub>
        </m:sSub>
      </m:oMath>
      <w:r>
        <w:t xml:space="preserve"> </w:t>
      </w:r>
      <w:r>
        <w:t xml:space="preserve">carry a marginal joint signal. The linear interaction is negative but not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-0.448, p = .116), and the quadratic interaction is positive but not significant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and</w:t>
      </w:r>
      <w:r>
        <w:t xml:space="preser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is statistically distinguishable from zero in three of four panels (2009 p = .040, 2023 p = .027, pooled p = .003) and null only in 2015 (p = .713). Pooled, the linear interaction is negative (</w:t>
      </w:r>
      <m:oMath>
        <m:sSub>
          <m:e>
            <m:r>
              <m:rPr>
                <m:nor/>
                <m:sty m:val="p"/>
              </m:rPr>
              <m:t>FSTS</m:t>
            </m:r>
          </m:e>
          <m:sub>
            <m:r>
              <m:t>c</m:t>
            </m:r>
          </m:sub>
        </m:sSub>
        <m:r>
          <m:rPr>
            <m:sty m:val="p"/>
          </m:rPr>
          <m:t>×</m:t>
        </m:r>
        <m:sSub>
          <m:e>
            <m:r>
              <m:rPr>
                <m:nor/>
                <m:sty m:val="p"/>
              </m:rPr>
              <m:t>TCI</m:t>
            </m:r>
          </m:e>
          <m:sub>
            <m:r>
              <m:t>z</m:t>
            </m:r>
          </m:sub>
        </m:sSub>
      </m:oMath>
      <w:r>
        <w:t xml:space="preserve"> </w:t>
      </w:r>
      <w:r>
        <w:t xml:space="preserve">= -0.587, p = .003) and the quadratic is positive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3835399"/>
            <wp:effectExtent b="0" l="0" r="0" t="0"/>
            <wp:docPr descr="Figure 2a: Wave 2009, predicted ln(labour productivity) vs FSTS" title="" id="48" name="Picture"/>
            <a:graphic>
              <a:graphicData uri="http://schemas.openxmlformats.org/drawingml/2006/picture">
                <pic:pic>
                  <pic:nvPicPr>
                    <pic:cNvPr descr="figures/vietnam/figure_2a.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w:t>
      </w:r>
      <w:r>
        <w:t xml:space="preserve"> </w:t>
      </w:r>
      <m:oMath>
        <m:r>
          <m:rPr>
            <m:sty m:val="p"/>
          </m:rPr>
          <m:t>≈</m:t>
        </m:r>
      </m:oMath>
      <w:r>
        <w:t xml:space="preserve"> </w:t>
      </w:r>
      <w:r>
        <w:t xml:space="preserve">46% FSTS (Lind-Mehlum p = .006).</w:t>
      </w:r>
    </w:p>
    <w:p>
      <w:pPr>
        <w:pStyle w:val="BodyText"/>
      </w:pPr>
      <w:r>
        <w:drawing>
          <wp:inline>
            <wp:extent cx="5753100" cy="3835399"/>
            <wp:effectExtent b="0" l="0" r="0" t="0"/>
            <wp:docPr descr="Figure 2b: Wave 2015, predicted ln(labour productivity) vs FSTS" title="" id="51" name="Picture"/>
            <a:graphic>
              <a:graphicData uri="http://schemas.openxmlformats.org/drawingml/2006/picture">
                <pic:pic>
                  <pic:nvPicPr>
                    <pic:cNvPr descr="figures/vietnam/figure_2b.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w:t>
      </w:r>
      <w:r>
        <w:t xml:space="preserve"> </w:t>
      </w:r>
      <m:oMath>
        <m:r>
          <m:rPr>
            <m:sty m:val="p"/>
          </m:rPr>
          <m:t>≈</m:t>
        </m:r>
      </m:oMath>
      <w:r>
        <w:t xml:space="preserve"> </w:t>
      </w:r>
      <w:r>
        <w:t xml:space="preserve">39% FSTS (Lind-Mehlum p = .009).</w:t>
      </w:r>
    </w:p>
    <w:p>
      <w:pPr>
        <w:pStyle w:val="BodyText"/>
      </w:pPr>
      <w:r>
        <w:drawing>
          <wp:inline>
            <wp:extent cx="5753100" cy="3835399"/>
            <wp:effectExtent b="0" l="0" r="0" t="0"/>
            <wp:docPr descr="Figure 2c: Wave 2023, predicted ln(labour productivity) vs FSTS" title="" id="54" name="Picture"/>
            <a:graphic>
              <a:graphicData uri="http://schemas.openxmlformats.org/drawingml/2006/picture">
                <pic:pic>
                  <pic:nvPicPr>
                    <pic:cNvPr descr="figures/vietnam/figure_2c.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w:t>
      </w:r>
      <w:r>
        <w:t xml:space="preserve"> </w:t>
      </w:r>
      <m:oMath>
        <m:r>
          <m:rPr>
            <m:sty m:val="p"/>
          </m:rPr>
          <m:t>≈</m:t>
        </m:r>
      </m:oMath>
      <w:r>
        <w:t xml:space="preserve"> </w:t>
      </w:r>
      <w:r>
        <w:t xml:space="preserve">42% FSTS (Lind-Mehlum p = .013).</w:t>
      </w:r>
    </w:p>
    <w:p>
      <w:pPr>
        <w:pStyle w:val="BodyText"/>
      </w:pPr>
      <w:r>
        <w:drawing>
          <wp:inline>
            <wp:extent cx="5753100" cy="3835399"/>
            <wp:effectExtent b="0" l="0" r="0" t="0"/>
            <wp:docPr descr="Figure 2d: Pooled (2009+2015+2023), predicted ln(labour productivity) vs FSTS" title="" id="57" name="Picture"/>
            <a:graphic>
              <a:graphicData uri="http://schemas.openxmlformats.org/drawingml/2006/picture">
                <pic:pic>
                  <pic:nvPicPr>
                    <pic:cNvPr descr="figures/vietnam/figure_2d.png" id="58" name="Picture"/>
                    <pic:cNvPicPr>
                      <a:picLocks noChangeArrowheads="1" noChangeAspect="1"/>
                    </pic:cNvPicPr>
                  </pic:nvPicPr>
                  <pic:blipFill>
                    <a:blip r:embed="rId5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w:t>
      </w:r>
      <w:r>
        <w:t xml:space="preserve"> </w:t>
      </w:r>
      <m:oMath>
        <m:r>
          <m:rPr>
            <m:sty m:val="p"/>
          </m:rPr>
          <m:t>≈</m:t>
        </m:r>
      </m:oMath>
      <w:r>
        <w:t xml:space="preserve"> </w:t>
      </w:r>
      <w:r>
        <w:t xml:space="preserve">40% FSTS (Lind-Mehlum p &lt; .001).</w:t>
      </w:r>
    </w:p>
    <w:bookmarkEnd w:id="59"/>
    <w:bookmarkStart w:id="63"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 Fan, &amp; Chen, 2022, MIR; Marano et al., 2016).</w:t>
      </w:r>
    </w:p>
    <w:p>
      <w:pPr>
        <w:pStyle w:val="BodyText"/>
      </w:pPr>
      <w:r>
        <w:t xml:space="preserve">H2 is supported: the positive</w:t>
      </w:r>
      <w:r>
        <w:t xml:space="preserve"> </w:t>
      </w:r>
      <m:oMath>
        <m:sSub>
          <m:e>
            <m:r>
              <m:rPr>
                <m:nor/>
                <m:sty m:val="p"/>
              </m:rPr>
              <m:t>TCI</m:t>
            </m:r>
          </m:e>
          <m:sub>
            <m:r>
              <m:t>z</m:t>
            </m:r>
          </m:sub>
        </m:sSub>
      </m:oMath>
      <w:r>
        <w:t xml:space="preserve"> </w:t>
      </w:r>
      <w:r>
        <w:t xml:space="preserve">direct coefficient (pooled</w:t>
      </w:r>
      <w:r>
        <w:t xml:space="preserve"> </w:t>
      </w:r>
      <m:oMath>
        <m:r>
          <m:t>β</m:t>
        </m:r>
      </m:oMath>
      <w:r>
        <w:t xml:space="preserve"> </w:t>
      </w:r>
      <w:r>
        <w:t xml:space="preserve">= 0.179, p &lt; .001) is statistically significant in all three wave-specific periods (2009 p &lt; .001; 2015 p = .010; 2023 p = .006), and statistically distinguishable TCI moderation appears in three of four panels (M3 joint p = .040, .713, .027 and .003). The baseline</w:t>
      </w:r>
      <w:r>
        <w:t xml:space="preserve"> </w:t>
      </w:r>
      <m:oMath>
        <m:sSub>
          <m:e>
            <m:r>
              <m:rPr>
                <m:nor/>
                <m:sty m:val="p"/>
              </m:rPr>
              <m:t>DAI</m:t>
            </m:r>
          </m:e>
          <m:sub>
            <m:r>
              <m:t>z</m:t>
            </m:r>
          </m:sub>
        </m:sSub>
      </m:oMath>
      <w:r>
        <w:t xml:space="preserve"> </w:t>
      </w:r>
      <w:r>
        <w:t xml:space="preserve">control reports a positive pooled level association (</w:t>
      </w:r>
      <m:oMath>
        <m:r>
          <m:t>β</m:t>
        </m:r>
      </m:oMath>
      <w:r>
        <w:t xml:space="preserve"> </w:t>
      </w:r>
      <w:r>
        <w:t xml:space="preserve">= 0.078, p = .004) but with substantial wave-to-wave variability, strong in 2009 (</w:t>
      </w:r>
      <m:oMath>
        <m:r>
          <m:t>β</m:t>
        </m:r>
      </m:oMath>
      <w:r>
        <w:t xml:space="preserve"> </w:t>
      </w:r>
      <w:r>
        <w:t xml:space="preserve">= 0.175, p &lt; .001), null in 2015 (</w:t>
      </w:r>
      <m:oMath>
        <m:r>
          <m:t>β</m:t>
        </m:r>
      </m:oMath>
      <w:r>
        <w:t xml:space="preserve"> </w:t>
      </w:r>
      <w:r>
        <w:t xml:space="preserve">= -0.044, p = .377), and re-emerging in 2023 (</w:t>
      </w:r>
      <m:oMath>
        <m:r>
          <m:t>β</m:t>
        </m:r>
      </m:oMath>
      <w:r>
        <w:t xml:space="preserve"> </w:t>
      </w:r>
      <w:r>
        <w:t xml:space="preserve">= 0.095, p = .038). Because</w:t>
      </w:r>
      <w:r>
        <w:t xml:space="preserve"> </w:t>
      </w:r>
      <m:oMath>
        <m:sSub>
          <m:e>
            <m:r>
              <m:rPr>
                <m:nor/>
                <m:sty m:val="p"/>
              </m:rPr>
              <m:t>DAI</m:t>
            </m:r>
          </m:e>
          <m:sub>
            <m:r>
              <m:t>z</m:t>
            </m:r>
          </m:sub>
        </m:sSub>
      </m:oMath>
      <w:r>
        <w:t xml:space="preserve"> </w:t>
      </w:r>
      <w:r>
        <w:t xml:space="preserve">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w:t>
      </w:r>
      <w:r>
        <w:t xml:space="preserve"> </w:t>
      </w:r>
      <m:oMath>
        <m:r>
          <m:rPr>
            <m:sty m:val="p"/>
          </m:rPr>
          <m:t>×</m:t>
        </m:r>
      </m:oMath>
      <w:r>
        <w:t xml:space="preserve"> </w:t>
      </w:r>
      <w:r>
        <w:t xml:space="preserve">focal interaction test (Panel I)</w:t>
      </w:r>
      <w:r>
        <w:t xml:space="preserve"> </w:t>
      </w:r>
      <w:r>
        <w:t xml:space="preserve">does not detect cross-wave differences in the</w:t>
      </w:r>
      <w:r>
        <w:t xml:space="preserve"> </w:t>
      </w:r>
      <m:oMath>
        <m:r>
          <m:rPr>
            <m:nor/>
            <m:sty m:val="p"/>
          </m:rPr>
          <m:t>FSTS</m:t>
        </m:r>
        <m:r>
          <m:rPr>
            <m:sty m:val="p"/>
          </m:rPr>
          <m:t>×</m:t>
        </m:r>
        <m:r>
          <m:rPr>
            <m:nor/>
            <m:sty m:val="p"/>
          </m:rPr>
          <m:t>DAI</m:t>
        </m:r>
      </m:oMath>
      <w:r>
        <w:t xml:space="preserve"> </w:t>
      </w:r>
      <w:r>
        <w:t xml:space="preserve">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w:t>
      </w:r>
      <w:r>
        <w:t xml:space="preserve"> </w:t>
      </w:r>
      <m:oMath>
        <m:r>
          <m:rPr>
            <m:nor/>
            <m:sty m:val="p"/>
          </m:rPr>
          <m:t>FSTS</m:t>
        </m:r>
        <m:r>
          <m:rPr>
            <m:sty m:val="p"/>
          </m:rPr>
          <m:t>×</m:t>
        </m:r>
        <m:r>
          <m:rPr>
            <m:nor/>
            <m:sty m:val="p"/>
          </m:rPr>
          <m:t>DAI</m:t>
        </m:r>
      </m:oMath>
      <w:r>
        <w:t xml:space="preserve"> </w:t>
      </w:r>
      <w:r>
        <w:t xml:space="preserve">interaction is significant while</w:t>
      </w:r>
      <w:r>
        <w:t xml:space="preserve"> </w:t>
      </w:r>
      <m:oMath>
        <m:sSup>
          <m:e>
            <m:r>
              <m:rPr>
                <m:nor/>
                <m:sty m:val="p"/>
              </m:rPr>
              <m:t>FSTS</m:t>
            </m:r>
          </m:e>
          <m:sup>
            <m:r>
              <m:t>2</m:t>
            </m:r>
          </m:sup>
        </m:sSup>
        <m:r>
          <m:rPr>
            <m:sty m:val="p"/>
          </m:rPr>
          <m:t>×</m:t>
        </m:r>
        <m:r>
          <m:rPr>
            <m:nor/>
            <m:sty m:val="p"/>
          </m:rPr>
          <m:t>DAI</m:t>
        </m:r>
      </m:oMath>
      <w:r>
        <w:t xml:space="preserve"> </w:t>
      </w:r>
      <w:r>
        <w:t xml:space="preserve">is not): the moderator shifts the position of the turning point but preserves the inverted-U shape. Type II moderation flips the shape of the curve (i.e.,</w:t>
      </w:r>
      <w:r>
        <w:t xml:space="preserve"> </w:t>
      </w:r>
      <m:oMath>
        <m:sSup>
          <m:e>
            <m:r>
              <m:rPr>
                <m:nor/>
                <m:sty m:val="p"/>
              </m:rPr>
              <m:t>FSTS</m:t>
            </m:r>
          </m:e>
          <m:sup>
            <m:r>
              <m:t>2</m:t>
            </m:r>
          </m:sup>
        </m:sSup>
        <m:r>
          <m:rPr>
            <m:sty m:val="p"/>
          </m:rPr>
          <m:t>×</m:t>
        </m:r>
        <m:r>
          <m:rPr>
            <m:nor/>
            <m:sty m:val="p"/>
          </m:rPr>
          <m:t>DAI</m:t>
        </m:r>
      </m:oMath>
      <w:r>
        <w:t xml:space="preserve"> </w:t>
      </w:r>
      <w:r>
        <w:t xml:space="preserve">is significant): high versus low moderator values produce qualitatively different functional forms. The 2023 DAI evidence fits Type I: the significant linear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indicates that digital adoption attenuates the positive slope at low export intensity, pulling the turning point inward, while the</w:t>
      </w:r>
      <w:r>
        <w:t xml:space="preserve"> </w:t>
      </w:r>
      <m:oMath>
        <m:sSup>
          <m:e>
            <m:r>
              <m:rPr>
                <m:nor/>
                <m:sty m:val="p"/>
              </m:rPr>
              <m:t>FSTS</m:t>
            </m:r>
          </m:e>
          <m:sup>
            <m:r>
              <m:t>2</m:t>
            </m:r>
          </m:sup>
        </m:sSup>
        <m:r>
          <m:rPr>
            <m:sty m:val="p"/>
          </m:rPr>
          <m:t>×</m:t>
        </m:r>
        <m:r>
          <m:rPr>
            <m:nor/>
            <m:sty m:val="p"/>
          </m:rPr>
          <m:t>DAI</m:t>
        </m:r>
      </m:oMath>
      <w:r>
        <w:t xml:space="preserve"> </w:t>
      </w:r>
      <w:r>
        <w:t xml:space="preserve">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401293"/>
            <wp:effectExtent b="0" l="0" r="0" t="0"/>
            <wp:docPr descr="Figure 3: Moderator marginal effects, TCI and DAI interactions with FSTS (Vietnam)" title="" id="61" name="Picture"/>
            <a:graphic>
              <a:graphicData uri="http://schemas.openxmlformats.org/drawingml/2006/picture">
                <pic:pic>
                  <pic:nvPicPr>
                    <pic:cNvPr descr="figures/vietnam/figure_3_moderator_marginals.png" id="62" name="Picture"/>
                    <pic:cNvPicPr>
                      <a:picLocks noChangeArrowheads="1" noChangeAspect="1"/>
                    </pic:cNvPicPr>
                  </pic:nvPicPr>
                  <pic:blipFill>
                    <a:blip r:embed="rId60"/>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on ln(labour productivity) across FSTS levels (M7/M8). TCI shows a stable positive level-shift across waves; DAI moderation is wave-specific, with the 2023 interaction showing attenuation at high FSTS (Type I moderation: slope-flattening, shape preserved).</w:t>
      </w:r>
    </w:p>
    <w:bookmarkEnd w:id="63"/>
    <w:bookmarkStart w:id="64" w:name="X9aa65c43a9adaf86b36bbe99dfc3f5e71def80c"/>
    <w:p>
      <w:pPr>
        <w:pStyle w:val="Heading3"/>
      </w:pPr>
      <w:r>
        <w:t xml:space="preserve">4.4 Main empirical pattern: participation</w:t>
      </w:r>
      <w:r>
        <w:t xml:space="preserve"> </w:t>
      </w:r>
      <m:oMath>
        <m:r>
          <m:rPr>
            <m:sty m:val="p"/>
          </m:rPr>
          <m:t>×</m:t>
        </m:r>
      </m:oMath>
      <w:r>
        <w:t xml:space="preserve"> </w:t>
      </w:r>
      <w:r>
        <w:t xml:space="preserve">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w:t>
      </w:r>
      <w:r>
        <w:t xml:space="preserve"> </w:t>
      </w:r>
      <m:oMath>
        <m:r>
          <m:rPr>
            <m:sty m:val="p"/>
          </m:rPr>
          <m:t>±</m:t>
        </m:r>
      </m:oMath>
      <w:r>
        <w:t xml:space="preserve">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w:t>
      </w:r>
      <w:r>
        <w:t xml:space="preserve"> </w:t>
      </w:r>
      <m:oMath>
        <m:sSub>
          <m:e>
            <m:r>
              <m:rPr>
                <m:nor/>
                <m:sty m:val="p"/>
              </m:rPr>
              <m:t>FSTS</m:t>
            </m:r>
          </m:e>
          <m:sub>
            <m:r>
              <m:t>c</m:t>
            </m:r>
          </m:sub>
        </m:sSub>
      </m:oMath>
      <w:r>
        <w:t xml:space="preserve"> </w:t>
      </w:r>
      <w:r>
        <w:t xml:space="preserve">term is negative (</w:t>
      </w:r>
      <m:oMath>
        <m:r>
          <m:t>β</m:t>
        </m:r>
      </m:oMath>
      <w:r>
        <w:t xml:space="preserve"> </w:t>
      </w:r>
      <w:r>
        <w:t xml:space="preserve">= -0.861, p &lt; .001) but the quadratic term is not significant (</w:t>
      </w:r>
      <m:oMath>
        <m:sSubSup>
          <m:e>
            <m:r>
              <m:rPr>
                <m:nor/>
                <m:sty m:val="p"/>
              </m:rPr>
              <m:t>FSTS</m:t>
            </m:r>
          </m:e>
          <m:sub>
            <m:r>
              <m:t>c</m:t>
            </m:r>
          </m:sub>
          <m:sup>
            <m:r>
              <m:t>2</m:t>
            </m:r>
          </m:sup>
        </m:sSubSup>
      </m:oMath>
      <w:r>
        <w:t xml:space="preserve"> </w:t>
      </w:r>
      <m:oMath>
        <m:r>
          <m:t>β</m:t>
        </m:r>
      </m:oMath>
      <w:r>
        <w:t xml:space="preserve"> </w:t>
      </w: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primary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w:t>
      </w:r>
      <w:r>
        <w:t xml:space="preserve"> </w:t>
      </w:r>
      <m:oMath>
        <m:r>
          <m:rPr>
            <m:sty m:val="p"/>
          </m:rPr>
          <m:t>×</m:t>
        </m:r>
      </m:oMath>
      <w:r>
        <w:t xml:space="preserve"> </w:t>
      </w:r>
      <w:r>
        <w:t xml:space="preserve">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4"/>
    <w:bookmarkStart w:id="66"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w:t>
      </w:r>
      <m:oMath>
        <m:sSub>
          <m:e>
            <m:r>
              <m:rPr>
                <m:nor/>
                <m:sty m:val="p"/>
              </m:rPr>
              <m:t>FSTS</m:t>
            </m:r>
          </m:e>
          <m:sub>
            <m:r>
              <m:t>c</m:t>
            </m:r>
          </m:sub>
        </m:sSub>
      </m:oMath>
      <w:r>
        <w:t xml:space="preserve"> </w:t>
      </w:r>
      <m:oMath>
        <m:r>
          <m:t>β</m:t>
        </m:r>
      </m:oMath>
      <w:r>
        <w:t xml:space="preserve"> </w:t>
      </w:r>
      <w:r>
        <w:t xml:space="preserve">= 0.971, p = .001;</w:t>
      </w:r>
      <w:r>
        <w:t xml:space="preserve"> </w:t>
      </w:r>
      <m:oMath>
        <m:sSubSup>
          <m:e>
            <m:r>
              <m:rPr>
                <m:nor/>
                <m:sty m:val="p"/>
              </m:rPr>
              <m:t>FSTS</m:t>
            </m:r>
          </m:e>
          <m:sub>
            <m:r>
              <m:t>c</m:t>
            </m:r>
          </m:sub>
          <m:sup>
            <m:r>
              <m:t>2</m:t>
            </m:r>
          </m:sup>
        </m:sSubSup>
      </m:oMath>
      <w:r>
        <w:t xml:space="preserve"> </w:t>
      </w:r>
      <m:oMath>
        <m:r>
          <m:t>β</m:t>
        </m:r>
      </m:oMath>
      <w:r>
        <w:t xml:space="preserve"> </w:t>
      </w:r>
      <w:r>
        <w:t xml:space="preserve">= -1.883, p &lt; .001) than in non-manufacturing (</w:t>
      </w:r>
      <m:oMath>
        <m:sSub>
          <m:e>
            <m:r>
              <m:rPr>
                <m:nor/>
                <m:sty m:val="p"/>
              </m:rPr>
              <m:t>FSTS</m:t>
            </m:r>
          </m:e>
          <m:sub>
            <m:r>
              <m:t>c</m:t>
            </m:r>
          </m:sub>
        </m:sSub>
      </m:oMath>
      <w:r>
        <w:t xml:space="preserve"> </w:t>
      </w:r>
      <m:oMath>
        <m:r>
          <m:t>β</m:t>
        </m:r>
      </m:oMath>
      <w:r>
        <w:t xml:space="preserve"> </w:t>
      </w:r>
      <w:r>
        <w:t xml:space="preserve">= 1.615, p = .064, marginal;</w:t>
      </w:r>
      <w:r>
        <w:t xml:space="preserve"> </w:t>
      </w:r>
      <m:oMath>
        <m:sSubSup>
          <m:e>
            <m:r>
              <m:rPr>
                <m:nor/>
                <m:sty m:val="p"/>
              </m:rPr>
              <m:t>FSTS</m:t>
            </m:r>
          </m:e>
          <m:sub>
            <m:r>
              <m:t>c</m:t>
            </m:r>
          </m:sub>
          <m:sup>
            <m:r>
              <m:t>2</m:t>
            </m:r>
          </m:sup>
        </m:sSubSup>
      </m:oMath>
      <w:r>
        <w:t xml:space="preserve"> </w:t>
      </w:r>
      <m:oMath>
        <m:r>
          <m:t>β</m:t>
        </m:r>
      </m:oMath>
      <w:r>
        <w:t xml:space="preserve"> </w:t>
      </w:r>
      <w:r>
        <w:t xml:space="preserve">= -2.479, p = .046). More substantively, the capability and digital-adoption channels operate primarily in manufacturing. In the M7 dual-direct specification, manufacturing firms display a strong</w:t>
      </w:r>
      <w:r>
        <w:t xml:space="preserve"> </w:t>
      </w:r>
      <m:oMath>
        <m:sSub>
          <m:e>
            <m:r>
              <m:rPr>
                <m:nor/>
                <m:sty m:val="p"/>
              </m:rPr>
              <m:t>TCI</m:t>
            </m:r>
          </m:e>
          <m:sub>
            <m:r>
              <m:t>z</m:t>
            </m:r>
          </m:sub>
        </m:sSub>
      </m:oMath>
      <w:r>
        <w:t xml:space="preserve"> </w:t>
      </w:r>
      <w:r>
        <w:t xml:space="preserve">direct association (</w:t>
      </w:r>
      <m:oMath>
        <m:r>
          <m:t>β</m:t>
        </m:r>
      </m:oMath>
      <w:r>
        <w:t xml:space="preserve"> </w:t>
      </w:r>
      <w:r>
        <w:t xml:space="preserve">= 0.223, p &lt; .001) and a positive</w:t>
      </w:r>
      <w:r>
        <w:t xml:space="preserve"> </w:t>
      </w:r>
      <m:oMath>
        <m:sSub>
          <m:e>
            <m:r>
              <m:rPr>
                <m:nor/>
                <m:sty m:val="p"/>
              </m:rPr>
              <m:t>DAI</m:t>
            </m:r>
          </m:e>
          <m:sub>
            <m:r>
              <m:t>z</m:t>
            </m:r>
          </m:sub>
        </m:sSub>
      </m:oMath>
      <w:r>
        <w:t xml:space="preserve"> </w:t>
      </w:r>
      <w:r>
        <w:t xml:space="preserve">direct association (</w:t>
      </w:r>
      <m:oMath>
        <m:r>
          <m:t>β</m:t>
        </m:r>
      </m:oMath>
      <w:r>
        <w:t xml:space="preserve"> </w:t>
      </w:r>
      <w:r>
        <w:t xml:space="preserve">= 0.087,</w:t>
      </w:r>
      <w:r>
        <w:t xml:space="preserve"> </w:t>
      </w:r>
      <w:r>
        <w:t xml:space="preserve">p = .009), while non-manufacturing firms show only a marginal</w:t>
      </w:r>
      <w:r>
        <w:t xml:space="preserve"> </w:t>
      </w:r>
      <m:oMath>
        <m:sSub>
          <m:e>
            <m:r>
              <m:rPr>
                <m:nor/>
                <m:sty m:val="p"/>
              </m:rPr>
              <m:t>TCI</m:t>
            </m:r>
          </m:e>
          <m:sub>
            <m:r>
              <m:t>z</m:t>
            </m:r>
          </m:sub>
        </m:sSub>
      </m:oMath>
      <w:r>
        <w:t xml:space="preserve"> </w:t>
      </w:r>
      <w:r>
        <w:t xml:space="preserve">effect (</w:t>
      </w:r>
      <m:oMath>
        <m:r>
          <m:t>β</m:t>
        </m:r>
      </m:oMath>
      <w:r>
        <w:t xml:space="preserve"> </w:t>
      </w:r>
      <w:r>
        <w:t xml:space="preserve">= 0.090, p =</w:t>
      </w:r>
      <w:r>
        <w:t xml:space="preserve"> </w:t>
      </w:r>
      <w:r>
        <w:t xml:space="preserve">.096) and a null</w:t>
      </w:r>
      <w:r>
        <w:t xml:space="preserve"> </w:t>
      </w:r>
      <m:oMath>
        <m:sSub>
          <m:e>
            <m:r>
              <m:rPr>
                <m:nor/>
                <m:sty m:val="p"/>
              </m:rPr>
              <m:t>DAI</m:t>
            </m:r>
          </m:e>
          <m:sub>
            <m:r>
              <m:t>z</m:t>
            </m:r>
          </m:sub>
        </m:sSub>
      </m:oMath>
      <w:r>
        <w:t xml:space="preserve"> </w:t>
      </w:r>
      <w:r>
        <w:t xml:space="preserve">effect (</w:t>
      </w:r>
      <m:oMath>
        <m:r>
          <m:t>β</m:t>
        </m:r>
      </m:oMath>
      <w:r>
        <w:t xml:space="preserve"> </w:t>
      </w:r>
      <w:r>
        <w:t xml:space="preserve">= 0.068, p = .133). The DAI moderation channel is concentrated in manufacturing (M8 joint p = .103, marginal;</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w:t>
      </w:r>
      <w:r>
        <w:t xml:space="preserve"> </w:t>
      </w:r>
      <m:oMath>
        <m:r>
          <m:rPr>
            <m:sty m:val="p"/>
          </m:rPr>
          <m:t>≈</m:t>
        </m:r>
      </m:oMath>
      <w:r>
        <w:t xml:space="preserve"> </w:t>
      </w:r>
      <w:r>
        <w:t xml:space="preserve">281 in 2009, 198 in 2015, 190 in 2023, and 669 pooled). The</w:t>
      </w:r>
      <w:r>
        <w:t xml:space="preserve"> </w:t>
      </w:r>
      <w:r>
        <w:t xml:space="preserve">pooled exporter-only specification yields a negative linear</w:t>
      </w:r>
      <w:r>
        <w:t xml:space="preserve"> </w:t>
      </w:r>
      <m:oMath>
        <m:sSub>
          <m:e>
            <m:r>
              <m:rPr>
                <m:nor/>
                <m:sty m:val="p"/>
              </m:rPr>
              <m:t>FSTS</m:t>
            </m:r>
          </m:e>
          <m:sub>
            <m:r>
              <m:t>c</m:t>
            </m:r>
          </m:sub>
        </m:sSub>
      </m:oMath>
      <w:r>
        <w:t xml:space="preserve"> </w:t>
      </w:r>
      <w:r>
        <w:t xml:space="preserve">term (</w:t>
      </w:r>
      <m:oMath>
        <m:r>
          <m:t>β</m:t>
        </m:r>
      </m:oMath>
      <w:r>
        <w:t xml:space="preserve"> </w:t>
      </w:r>
      <w:r>
        <w:t xml:space="preserve">= -0.861, p &lt; .001)</w:t>
      </w:r>
      <w:r>
        <w:t xml:space="preserve"> </w:t>
      </w:r>
      <w:r>
        <w:t xml:space="preserve">but a non-significant quadratic term (</w:t>
      </w:r>
      <m:oMath>
        <m:sSubSup>
          <m:e>
            <m:r>
              <m:rPr>
                <m:nor/>
                <m:sty m:val="p"/>
              </m:rPr>
              <m:t>FSTS</m:t>
            </m:r>
          </m:e>
          <m:sub>
            <m:r>
              <m:t>c</m:t>
            </m:r>
          </m:sub>
          <m:sup>
            <m:r>
              <m:t>2</m:t>
            </m:r>
          </m:sup>
        </m:sSubSup>
      </m:oMath>
      <w:r>
        <w:t xml:space="preserve"> </w:t>
      </w:r>
      <m:oMath>
        <m:r>
          <m:t>β</m:t>
        </m:r>
      </m:oMath>
      <w:r>
        <w:t xml:space="preserve"> </w:t>
      </w:r>
      <w:r>
        <w:t xml:space="preserve">=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w:t>
      </w:r>
      <w:r>
        <w:t xml:space="preserve"> </w:t>
      </w:r>
      <m:oMath>
        <m:r>
          <m:rPr>
            <m:sty m:val="p"/>
          </m:rPr>
          <m:t>×</m:t>
        </m:r>
      </m:oMath>
      <w:r>
        <w:t xml:space="preserve"> </w:t>
      </w:r>
      <w:r>
        <w:t xml:space="preserve">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w:t>
      </w:r>
      <m:oMath>
        <m:sSub>
          <m:e>
            <m:r>
              <m:rPr>
                <m:nor/>
                <m:sty m:val="p"/>
              </m:rPr>
              <m:t>FSTS</m:t>
            </m:r>
          </m:e>
          <m:sub>
            <m:r>
              <m:t>c</m:t>
            </m:r>
          </m:sub>
        </m:sSub>
      </m:oMath>
      <w:r>
        <w:t xml:space="preserve"> </w:t>
      </w:r>
      <m:oMath>
        <m:r>
          <m:rPr>
            <m:sty m:val="p"/>
          </m:rPr>
          <m:t>×</m:t>
        </m:r>
      </m:oMath>
      <w:r>
        <w:t xml:space="preserve"> </w:t>
      </w:r>
      <w:r>
        <w:t xml:space="preserve">wave,</w:t>
      </w:r>
      <w:r>
        <w:t xml:space="preserve"> </w:t>
      </w:r>
      <m:oMath>
        <m:sSubSup>
          <m:e>
            <m:r>
              <m:rPr>
                <m:nor/>
                <m:sty m:val="p"/>
              </m:rPr>
              <m:t>FSTS</m:t>
            </m:r>
          </m:e>
          <m:sub>
            <m:r>
              <m:t>c</m:t>
            </m:r>
          </m:sub>
          <m:sup>
            <m:r>
              <m:t>2</m:t>
            </m:r>
          </m:sup>
        </m:sSubSup>
      </m:oMath>
      <w:r>
        <w:t xml:space="preserve"> </w:t>
      </w:r>
      <m:oMath>
        <m:r>
          <m:rPr>
            <m:sty m:val="p"/>
          </m:rPr>
          <m:t>×</m:t>
        </m:r>
      </m:oMath>
      <w:r>
        <w:t xml:space="preserve"> </w:t>
      </w:r>
      <w:r>
        <w:t xml:space="preserve">wave,</w:t>
      </w:r>
      <w:r>
        <w:t xml:space="preserve"> </w:t>
      </w:r>
      <m:oMath>
        <m:sSub>
          <m:e>
            <m:r>
              <m:rPr>
                <m:nor/>
                <m:sty m:val="p"/>
              </m:rPr>
              <m:t>DAI</m:t>
            </m:r>
          </m:e>
          <m:sub>
            <m:r>
              <m:t>z</m:t>
            </m:r>
          </m:sub>
        </m:sSub>
      </m:oMath>
      <w:r>
        <w:t xml:space="preserve"> </w:t>
      </w:r>
      <m:oMath>
        <m:r>
          <m:rPr>
            <m:sty m:val="p"/>
          </m:rPr>
          <m:t>×</m:t>
        </m:r>
      </m:oMath>
      <w:r>
        <w:t xml:space="preserve"> </w:t>
      </w:r>
      <w:r>
        <w:t xml:space="preserve">wave,</w:t>
      </w:r>
      <w:r>
        <w:t xml:space="preserve"> </w:t>
      </w:r>
      <m:oMath>
        <m:sSub>
          <m:e>
            <m:r>
              <m:rPr>
                <m:nor/>
                <m:sty m:val="p"/>
              </m:rPr>
              <m:t>TCI</m:t>
            </m:r>
          </m:e>
          <m:sub>
            <m:r>
              <m:t>z</m:t>
            </m:r>
          </m:sub>
        </m:sSub>
      </m:oMath>
      <w:r>
        <w:t xml:space="preserve"> </w:t>
      </w:r>
      <m:oMath>
        <m:r>
          <m:rPr>
            <m:sty m:val="p"/>
          </m:rPr>
          <m:t>×</m:t>
        </m:r>
      </m:oMath>
      <w:r>
        <w:t xml:space="preserve"> </w:t>
      </w:r>
      <w:r>
        <w:t xml:space="preserve">wave). The joint Wald tests indicate that only</w:t>
      </w:r>
      <w:r>
        <w:t xml:space="preserve"> </w:t>
      </w:r>
      <m:oMath>
        <m:sSub>
          <m:e>
            <m:r>
              <m:rPr>
                <m:nor/>
                <m:sty m:val="p"/>
              </m:rPr>
              <m:t>DAI</m:t>
            </m:r>
          </m:e>
          <m:sub>
            <m:r>
              <m:t>z</m:t>
            </m:r>
          </m:sub>
        </m:sSub>
      </m:oMath>
      <w:r>
        <w:t xml:space="preserve"> </w:t>
      </w:r>
      <m:oMath>
        <m:r>
          <m:rPr>
            <m:sty m:val="p"/>
          </m:rPr>
          <m:t>×</m:t>
        </m:r>
      </m:oMath>
      <w:r>
        <w:t xml:space="preserve"> </w:t>
      </w:r>
      <w:r>
        <w:t xml:space="preserve">wave is statistically distinguishable from the pooled average (joint p = .016); the</w:t>
      </w:r>
      <w:r>
        <w:t xml:space="preserve"> </w:t>
      </w:r>
      <m:oMath>
        <m:sSub>
          <m:e>
            <m:r>
              <m:rPr>
                <m:nor/>
                <m:sty m:val="p"/>
              </m:rPr>
              <m:t>FSTS</m:t>
            </m:r>
          </m:e>
          <m:sub>
            <m:r>
              <m:t>c</m:t>
            </m:r>
          </m:sub>
        </m:sSub>
      </m:oMath>
      <w:r>
        <w:t xml:space="preserve">,</w:t>
      </w:r>
      <w:r>
        <w:t xml:space="preserve"> </w:t>
      </w:r>
      <m:oMath>
        <m:sSubSup>
          <m:e>
            <m:r>
              <m:rPr>
                <m:nor/>
                <m:sty m:val="p"/>
              </m:rPr>
              <m:t>FSTS</m:t>
            </m:r>
          </m:e>
          <m:sub>
            <m:r>
              <m:t>c</m:t>
            </m:r>
          </m:sub>
          <m:sup>
            <m:r>
              <m:t>2</m:t>
            </m:r>
          </m:sup>
        </m:sSubSup>
      </m:oMath>
      <w:r>
        <w:t xml:space="preserve"> </w:t>
      </w:r>
      <w:r>
        <w:t xml:space="preserve">and</w:t>
      </w:r>
      <w:r>
        <w:t xml:space="preserve"> </w:t>
      </w:r>
      <m:oMath>
        <m:sSub>
          <m:e>
            <m:r>
              <m:rPr>
                <m:nor/>
                <m:sty m:val="p"/>
              </m:rPr>
              <m:t>TCI</m:t>
            </m:r>
          </m:e>
          <m:sub>
            <m:r>
              <m:t>z</m:t>
            </m:r>
          </m:sub>
        </m:sSub>
      </m:oMath>
      <w:r>
        <w:t xml:space="preserve"> </w:t>
      </w:r>
      <w:r>
        <w:t xml:space="preserve">direct-effect cross-wave differences are not statistically separable (all joint p &gt; .25), and the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and</w:t>
      </w:r>
      <w:r>
        <w:t xml:space="preserve">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w:t>
      </w:r>
      <w:r>
        <w:t xml:space="preserve"> </w:t>
      </w:r>
      <m:oMath>
        <m:r>
          <m:rPr>
            <m:nor/>
            <m:sty m:val="p"/>
          </m:rPr>
          <m:t>FSTS</m:t>
        </m:r>
        <m:r>
          <m:rPr>
            <m:sty m:val="p"/>
          </m:rPr>
          <m:t>×</m:t>
        </m:r>
        <m:r>
          <m:rPr>
            <m:nor/>
            <m:sty m:val="p"/>
          </m:rPr>
          <m:t>DAI</m:t>
        </m:r>
      </m:oMath>
      <w:r>
        <w:t xml:space="preserve"> </w:t>
      </w:r>
      <w:r>
        <w:t xml:space="preserve">moderation terms share a common pooled magnitude across waves.</w:t>
      </w:r>
      <w:r>
        <w:t xml:space="preserve"> </w:t>
      </w:r>
      <w:r>
        <w:t xml:space="preserve">Functional form check, cubic extension. To test whether an S-curve (cubic) specification better captures the I–P pattern, we augment the pooled M2 with a cubic term</w:t>
      </w:r>
      <w:r>
        <w:t xml:space="preserve"> </w:t>
      </w:r>
      <m:oMath>
        <m:sSubSup>
          <m:e>
            <m:r>
              <m:rPr>
                <m:nor/>
                <m:sty m:val="p"/>
              </m:rPr>
              <m:t>FSTS</m:t>
            </m:r>
          </m:e>
          <m:sub>
            <m:r>
              <m:t>c</m:t>
            </m:r>
          </m:sub>
          <m:sup>
            <m:r>
              <m:t>3</m:t>
            </m:r>
          </m:sup>
        </m:sSubSup>
      </m:oMath>
      <w:r>
        <w:t xml:space="preserve">. The cubic coefficient is not statistically significant (</w:t>
      </w:r>
      <m:oMath>
        <m:r>
          <m:t>β</m:t>
        </m:r>
      </m:oMath>
      <w:r>
        <w:t xml:space="preserve"> </w:t>
      </w:r>
      <w:r>
        <w:t xml:space="preserve">=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w:t>
      </w:r>
      <w:r>
        <w:t xml:space="preserve"> </w:t>
      </w:r>
      <m:oMath>
        <m:r>
          <m:rPr>
            <m:sty m:val="p"/>
          </m:rPr>
          <m:t>±</m:t>
        </m:r>
      </m:oMath>
      <w:r>
        <w:t xml:space="preserve">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5"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w:t>
      </w:r>
      <m:oMath>
        <m:r>
          <m:t>λ</m:t>
        </m:r>
      </m:oMath>
      <w:r>
        <w:t xml:space="preserve">|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w:t>
      </w:r>
      <w:r>
        <w:t xml:space="preserve"> </w:t>
      </w:r>
      <m:oMath>
        <m:sSub>
          <m:e>
            <m:r>
              <m:rPr>
                <m:nor/>
                <m:sty m:val="p"/>
              </m:rPr>
              <m:t>DAI</m:t>
            </m:r>
          </m:e>
          <m:sub>
            <m:r>
              <m:t>z</m:t>
            </m:r>
          </m:sub>
        </m:sSub>
      </m:oMath>
      <w:r>
        <w:t xml:space="preserve"> </w:t>
      </w:r>
      <w:r>
        <w:t xml:space="preserve">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w:t>
      </w:r>
      <w:r>
        <w:t xml:space="preserve"> </w:t>
      </w:r>
      <m:oMath>
        <m:r>
          <m:rPr>
            <m:nor/>
            <m:sty m:val="p"/>
          </m:rPr>
          <m:t>DAI</m:t>
        </m:r>
        <m:r>
          <m:rPr>
            <m:sty m:val="p"/>
          </m:rPr>
          <m:t>×</m:t>
        </m:r>
        <m:r>
          <m:rPr>
            <m:nor/>
            <m:sty m:val="p"/>
          </m:rPr>
          <m:t>FSTS</m:t>
        </m:r>
      </m:oMath>
      <w:r>
        <w:t xml:space="preserve"> </w:t>
      </w:r>
      <w:r>
        <w:t xml:space="preserve">interaction. The strongly positive instrumented TCI coefficient (</w:t>
      </w:r>
      <m:oMath>
        <m:r>
          <m:t>β</m:t>
        </m:r>
      </m:oMath>
      <w:r>
        <w:t xml:space="preserve">=1.639,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cells) satisfies relevance (strong first stage) and approximate exclusion (peer-adoption rates are unlikely to affect individual firm productivity through channels other than DAI adoption, conditional on sector-wave cells). Oster (2019) δ-stability bounds (assuming R_max = 1.3</w:t>
      </w:r>
      <w:r>
        <w:t xml:space="preserve"> </w:t>
      </w:r>
      <m:oMath>
        <m:r>
          <m:rPr>
            <m:sty m:val="p"/>
          </m:rPr>
          <m:t>×</m:t>
        </m:r>
      </m:oMath>
      <w:r>
        <w:t xml:space="preserve"> </w:t>
      </w:r>
      <w:r>
        <w:t xml:space="preserve">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w:t>
      </w:r>
      <w:r>
        <w:t xml:space="preserve"> </w:t>
      </w:r>
      <m:oMath>
        <m:sSub>
          <m:e>
            <m:r>
              <m:rPr>
                <m:nor/>
                <m:sty m:val="p"/>
              </m:rPr>
              <m:t>DAI</m:t>
            </m:r>
          </m:e>
          <m:sub>
            <m:r>
              <m:t>r</m:t>
            </m:r>
          </m:sub>
        </m:sSub>
      </m:oMath>
      <w:r>
        <w:t xml:space="preserve">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w:t>
      </w:r>
      <w:r>
        <w:t xml:space="preserve"> </w:t>
      </w:r>
      <m:oMath>
        <m:sSub>
          <m:e>
            <m:r>
              <m:rPr>
                <m:nor/>
                <m:sty m:val="p"/>
              </m:rPr>
              <m:t>TCI</m:t>
            </m:r>
          </m:e>
          <m:sub>
            <m:r>
              <m:t>f</m:t>
            </m:r>
          </m:sub>
        </m:sSub>
      </m:oMath>
      <w:r>
        <w:t xml:space="preserve">ull = broader TCI composite;</w:t>
      </w:r>
      <w:r>
        <w:t xml:space="preserve"> </w:t>
      </w:r>
      <m:oMath>
        <m:sSub>
          <m:e>
            <m:r>
              <m:rPr>
                <m:nor/>
                <m:sty m:val="p"/>
              </m:rPr>
              <m:t>DAI</m:t>
            </m:r>
          </m:e>
          <m:sub>
            <m:r>
              <m:t>r</m:t>
            </m:r>
          </m:sub>
        </m:sSub>
      </m:oMath>
      <w:r>
        <w:t xml:space="preserve">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w:t>
      </w:r>
      <w:r>
        <w:t xml:space="preserve"> </w:t>
      </w:r>
      <m:oMath>
        <m:sSub>
          <m:e>
            <m:r>
              <m:rPr>
                <m:nor/>
                <m:sty m:val="p"/>
              </m:rPr>
              <m:t>TCI</m:t>
            </m:r>
          </m:e>
          <m:sub>
            <m:r>
              <m:t>f</m:t>
            </m:r>
          </m:sub>
        </m:sSub>
      </m:oMath>
      <w:r>
        <w:t xml:space="preserve">ull direct (2015)</w:t>
      </w:r>
      <w:r>
        <w:t xml:space="preserve"> </w:t>
      </w:r>
      <w:r>
        <w:t xml:space="preserve">956</w:t>
      </w:r>
      <w:r>
        <w:t xml:space="preserve"> </w:t>
      </w:r>
      <m:oMath>
        <m:sSub>
          <m:e>
            <m:r>
              <m:rPr>
                <m:nor/>
                <m:sty m:val="p"/>
              </m:rPr>
              <m:t>TCI</m:t>
            </m:r>
          </m:e>
          <m:sub>
            <m:r>
              <m:t>f</m:t>
            </m:r>
          </m:sub>
        </m:sSub>
      </m:oMath>
      <w:r>
        <w:t xml:space="preserve">ull_z = 0.056 (p = .253) n.s.;</w:t>
      </w:r>
      <w:r>
        <w:t xml:space="preserve"> </w:t>
      </w:r>
      <m:oMath>
        <m:sSub>
          <m:e>
            <m:r>
              <m:rPr>
                <m:nor/>
                <m:sty m:val="p"/>
              </m:rPr>
              <m:t>DAI</m:t>
            </m:r>
          </m:e>
          <m:sub>
            <m:r>
              <m:t>z</m:t>
            </m:r>
          </m:sub>
        </m:sSub>
      </m:oMath>
      <w:r>
        <w:t xml:space="preserve"> </w:t>
      </w:r>
      <w:r>
        <w:t xml:space="preserve">= M3 joint p = .492 n.s.</w:t>
      </w:r>
      <w:r>
        <w:t xml:space="preserve"> </w:t>
      </w:r>
      <w:r>
        <w:t xml:space="preserve">−0.033 n.s.</w:t>
      </w:r>
      <w:r>
        <w:t xml:space="preserve"> </w:t>
      </w:r>
      <w:r>
        <w:t xml:space="preserve">A.</w:t>
      </w:r>
      <w:r>
        <w:t xml:space="preserve"> </w:t>
      </w:r>
      <m:oMath>
        <m:sSub>
          <m:e>
            <m:r>
              <m:rPr>
                <m:nor/>
                <m:sty m:val="p"/>
              </m:rPr>
              <m:t>TCI</m:t>
            </m:r>
          </m:e>
          <m:sub>
            <m:r>
              <m:t>f</m:t>
            </m:r>
          </m:sub>
        </m:sSub>
      </m:oMath>
      <w:r>
        <w:t xml:space="preserve">ull direct (2023)</w:t>
      </w:r>
      <w:r>
        <w:t xml:space="preserve"> </w:t>
      </w:r>
      <w:r>
        <w:t xml:space="preserve">1,013</w:t>
      </w:r>
      <w:r>
        <w:t xml:space="preserve"> </w:t>
      </w:r>
      <m:oMath>
        <m:sSub>
          <m:e>
            <m:r>
              <m:rPr>
                <m:nor/>
                <m:sty m:val="p"/>
              </m:rPr>
              <m:t>TCI</m:t>
            </m:r>
          </m:e>
          <m:sub>
            <m:r>
              <m:t>f</m:t>
            </m:r>
          </m:sub>
        </m:sSub>
      </m:oMath>
      <w:r>
        <w:t xml:space="preserve">ull_z = 0.096 (p = .024);</w:t>
      </w:r>
      <w:r>
        <w:t xml:space="preserve"> </w:t>
      </w:r>
      <m:oMath>
        <m:sSub>
          <m:e>
            <m:r>
              <m:rPr>
                <m:nor/>
                <m:sty m:val="p"/>
              </m:rPr>
              <m:t>DAI</m:t>
            </m:r>
          </m:e>
          <m:sub>
            <m:r>
              <m:t>z</m:t>
            </m:r>
          </m:sub>
        </m:sSub>
      </m:oMath>
      <w:r>
        <w:t xml:space="preserve"> </w:t>
      </w:r>
      <w:r>
        <w:t xml:space="preserve">= M3 joint p = .152 n.s.</w:t>
      </w:r>
      <w:r>
        <w:t xml:space="preserve"> </w:t>
      </w:r>
      <w:r>
        <w:t xml:space="preserve">0.097 (p = .037)</w:t>
      </w:r>
      <w:r>
        <w:t xml:space="preserve"> </w:t>
      </w:r>
      <w:r>
        <w:t xml:space="preserve">B.</w:t>
      </w:r>
      <w:r>
        <w:t xml:space="preserve"> </w:t>
      </w:r>
      <m:oMath>
        <m:sSub>
          <m:e>
            <m:r>
              <m:rPr>
                <m:nor/>
                <m:sty m:val="p"/>
              </m:rPr>
              <m:t>DAI</m:t>
            </m:r>
          </m:e>
          <m:sub>
            <m:r>
              <m:t>r</m:t>
            </m:r>
          </m:sub>
        </m:sSub>
      </m:oMath>
      <w:r>
        <w:t xml:space="preserve">ich continuous (2023)</w:t>
      </w:r>
      <w:r>
        <w:t xml:space="preserve"> </w:t>
      </w:r>
      <w:r>
        <w:t xml:space="preserve">1,013</w:t>
      </w:r>
      <w:r>
        <w:t xml:space="preserve"> </w:t>
      </w:r>
      <m:oMath>
        <m:sSub>
          <m:e>
            <m:r>
              <m:rPr>
                <m:nor/>
                <m:sty m:val="p"/>
              </m:rPr>
              <m:t>FSTS</m:t>
            </m:r>
          </m:e>
          <m:sub>
            <m:r>
              <m:t>c</m:t>
            </m:r>
          </m:sub>
        </m:sSub>
        <m:r>
          <m:rPr>
            <m:sty m:val="p"/>
          </m:rPr>
          <m:t>×</m:t>
        </m:r>
        <m:sSub>
          <m:e>
            <m:r>
              <m:rPr>
                <m:nor/>
                <m:sty m:val="p"/>
              </m:rPr>
              <m:t>DAI</m:t>
            </m:r>
          </m:e>
          <m:sub>
            <m:r>
              <m:t>r</m:t>
            </m:r>
          </m:sub>
        </m:sSub>
      </m:oMath>
      <w:r>
        <w:t xml:space="preserve">ich_cont_z = −0.933 † (p M8 joint p = .099 †</w:t>
      </w:r>
      <w:r>
        <w:t xml:space="preserve"> </w:t>
      </w:r>
      <w:r>
        <w:t xml:space="preserve">= .076)</w:t>
      </w:r>
      <w:r>
        <w:t xml:space="preserve"> </w:t>
      </w:r>
      <w:r>
        <w:t xml:space="preserve">B.</w:t>
      </w:r>
      <w:r>
        <w:t xml:space="preserve"> </w:t>
      </w:r>
      <m:oMath>
        <m:sSub>
          <m:e>
            <m:r>
              <m:rPr>
                <m:nor/>
                <m:sty m:val="p"/>
              </m:rPr>
              <m:t>DAI</m:t>
            </m:r>
          </m:e>
          <m:sub>
            <m:r>
              <m:t>r</m:t>
            </m:r>
          </m:sub>
        </m:sSub>
      </m:oMath>
      <w:r>
        <w:t xml:space="preserve">ich binary (2023)</w:t>
      </w:r>
      <w:r>
        <w:t xml:space="preserve"> </w:t>
      </w:r>
      <w:r>
        <w:t xml:space="preserve">1,013</w:t>
      </w:r>
      <w:r>
        <w:t xml:space="preserve"> </w:t>
      </w:r>
      <m:oMath>
        <m:sSub>
          <m:e>
            <m:r>
              <m:rPr>
                <m:nor/>
                <m:sty m:val="p"/>
              </m:rPr>
              <m:t>FSTS</m:t>
            </m:r>
          </m:e>
          <m:sub>
            <m:r>
              <m:t>c</m:t>
            </m:r>
          </m:sub>
        </m:sSub>
        <m:r>
          <m:rPr>
            <m:sty m:val="p"/>
          </m:rPr>
          <m:t>×</m:t>
        </m:r>
        <m:sSub>
          <m:e>
            <m:r>
              <m:rPr>
                <m:nor/>
                <m:sty m:val="p"/>
              </m:rPr>
              <m:t>DAI</m:t>
            </m:r>
          </m:e>
          <m:sub>
            <m:r>
              <m:t>r</m:t>
            </m:r>
          </m:sub>
        </m:sSub>
      </m:oMath>
      <w:r>
        <w:t xml:space="preserve">ich_bin_z = −0.893 (p = M8 joint p = .243 n.s.</w:t>
      </w:r>
      <w:r>
        <w:t xml:space="preserve"> </w:t>
      </w:r>
      <w:r>
        <w:t xml:space="preserve">.169) n.s.</w:t>
      </w:r>
      <w:r>
        <w:t xml:space="preserve"> </w:t>
      </w:r>
      <w:r>
        <w:t xml:space="preserve">C. Common-N reconciled (2023) 1,013</w:t>
      </w:r>
      <w:r>
        <w:t xml:space="preserve"> </w:t>
      </w:r>
      <m:oMath>
        <m:sSub>
          <m:e>
            <m:r>
              <m:rPr>
                <m:nor/>
                <m:sty m:val="p"/>
              </m:rPr>
              <m:t>DAI</m:t>
            </m:r>
          </m:e>
          <m:sub>
            <m:r>
              <m:t>z</m:t>
            </m:r>
          </m:sub>
        </m:sSub>
      </m:oMath>
      <w:r>
        <w:t xml:space="preserve"> </w:t>
      </w:r>
      <w:r>
        <w:t xml:space="preserve">moderation re-estimated on identical M8 joint p = .062 †</w:t>
      </w:r>
      <w:r>
        <w:t xml:space="preserve"> </w:t>
      </w:r>
      <w:r>
        <w:t xml:space="preserve">2023 sample</w:t>
      </w:r>
      <w:r>
        <w:t xml:space="preserve"> </w:t>
      </w:r>
      <w:r>
        <w:t xml:space="preserve">D. Micro-firm exclusion (l1</w:t>
      </w:r>
      <w:r>
        <w:t xml:space="preserve"> </w:t>
      </w:r>
      <m:oMath>
        <m:r>
          <m:rPr>
            <m:sty m:val="p"/>
          </m:rPr>
          <m:t>≥</m:t>
        </m:r>
      </m:oMath>
      <w:r>
        <w:t xml:space="preserve"> </w:t>
      </w:r>
      <w:r>
        <w:t xml:space="preserve">10) 2,473</w:t>
      </w:r>
      <w:r>
        <w:t xml:space="preserve"> </w:t>
      </w:r>
      <m:oMath>
        <m:sSub>
          <m:e>
            <m:r>
              <m:rPr>
                <m:nor/>
                <m:sty m:val="p"/>
              </m:rPr>
              <m:t>TCI</m:t>
            </m:r>
          </m:e>
          <m:sub>
            <m:r>
              <m:t>z</m:t>
            </m:r>
          </m:sub>
        </m:sSub>
      </m:oMath>
      <w:r>
        <w:t xml:space="preserve"> </w:t>
      </w:r>
      <w:r>
        <w:t xml:space="preserve">= 0.188 ;</w:t>
      </w:r>
      <w:r>
        <w:t xml:space="preserve"> </w:t>
      </w:r>
      <m:oMath>
        <m:sSub>
          <m:e>
            <m:r>
              <m:rPr>
                <m:nor/>
                <m:sty m:val="p"/>
              </m:rPr>
              <m:t>DAI</m:t>
            </m:r>
          </m:e>
          <m:sub>
            <m:r>
              <m:t>z</m:t>
            </m:r>
          </m:sub>
        </m:sSub>
      </m:oMath>
      <w:r>
        <w:t xml:space="preserve"> </w:t>
      </w:r>
      <w:r>
        <w:t xml:space="preserve">= 0.054 n.s.</w:t>
      </w:r>
      <w:r>
        <w:t xml:space="preserve"> </w:t>
      </w:r>
      <w:r>
        <w:t xml:space="preserve">M8 joint p = .167 n.s.</w:t>
      </w:r>
      <w:r>
        <w:t xml:space="preserve"> </w:t>
      </w:r>
      <w:r>
        <w:t xml:space="preserve">G. Manufacturing (sector1 1,854</w:t>
      </w:r>
      <w:r>
        <w:t xml:space="preserve"> </w:t>
      </w:r>
      <m:oMath>
        <m:sSub>
          <m:e>
            <m:r>
              <m:rPr>
                <m:nor/>
                <m:sty m:val="p"/>
              </m:rPr>
              <m:t>TCI</m:t>
            </m:r>
          </m:e>
          <m:sub>
            <m:r>
              <m:t>z</m:t>
            </m:r>
          </m:sub>
        </m:sSub>
      </m:oMath>
      <w:r>
        <w:t xml:space="preserve"> </w:t>
      </w:r>
      <w:r>
        <w:t xml:space="preserve">= 0.223 ;</w:t>
      </w:r>
      <w:r>
        <w:t xml:space="preserve"> </w:t>
      </w:r>
      <m:oMath>
        <m:sSub>
          <m:e>
            <m:r>
              <m:rPr>
                <m:nor/>
                <m:sty m:val="p"/>
              </m:rPr>
              <m:t>DAI</m:t>
            </m:r>
          </m:e>
          <m:sub>
            <m:r>
              <m:t>z</m:t>
            </m:r>
          </m:sub>
        </m:sSub>
      </m:oMath>
      <w:r>
        <w:t xml:space="preserve"> </w:t>
      </w:r>
      <w:r>
        <w:t xml:space="preserve">= 0.087 ; M8 joint p = .103 †</w:t>
      </w:r>
      <w:r>
        <w:t xml:space="preserve"> </w:t>
      </w:r>
      <w:r>
        <w:t xml:space="preserve">∈ {1, 2, 3})</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−0.543 †</w:t>
      </w:r>
      <w:r>
        <w:t xml:space="preserve"> </w:t>
      </w:r>
      <w:r>
        <w:t xml:space="preserve">H. Exporter-only (FSTS &gt; 0, 669</w:t>
      </w:r>
      <w:r>
        <w:t xml:space="preserve"> </w:t>
      </w:r>
      <m:oMath>
        <m:sSub>
          <m:e>
            <m:r>
              <m:rPr>
                <m:nor/>
                <m:sty m:val="p"/>
              </m:rPr>
              <m:t>FSTS</m:t>
            </m:r>
          </m:e>
          <m:sub>
            <m:r>
              <m:t>c</m:t>
            </m:r>
          </m:sub>
        </m:sSub>
      </m:oMath>
      <w:r>
        <w:t xml:space="preserve"> </w:t>
      </w:r>
      <w:r>
        <w:t xml:space="preserve">= −0.861 ;</w:t>
      </w:r>
      <w:r>
        <w:t xml:space="preserve"> </w:t>
      </w:r>
      <m:oMath>
        <m:sSubSup>
          <m:e>
            <m:r>
              <m:rPr>
                <m:nor/>
                <m:sty m:val="p"/>
              </m:rPr>
              <m:t>FSTS</m:t>
            </m:r>
          </m:e>
          <m:sub>
            <m:r>
              <m:t>c</m:t>
            </m:r>
          </m:sub>
          <m:sup>
            <m:r>
              <m:t>2</m:t>
            </m:r>
          </m:sup>
        </m:sSubSup>
      </m:oMath>
      <w:r>
        <w:t xml:space="preserve"> </w:t>
      </w:r>
      <w:r>
        <w:t xml:space="preserve">= −0.200 M8 joint p = .462 n.s.</w:t>
      </w:r>
      <w:r>
        <w:t xml:space="preserve"> </w:t>
      </w:r>
      <w:r>
        <w:t xml:space="preserve">pooled)</w:t>
      </w:r>
      <w:r>
        <w:t xml:space="preserve"> </w:t>
      </w:r>
      <w:r>
        <w:t xml:space="preserve">n.s.</w:t>
      </w:r>
      <w:r>
        <w:t xml:space="preserve"> </w:t>
      </w:r>
      <w:r>
        <w:t xml:space="preserve">I. Wave</w:t>
      </w:r>
      <w:r>
        <w:t xml:space="preserve"> </w:t>
      </w:r>
      <m:oMath>
        <m:r>
          <m:rPr>
            <m:sty m:val="p"/>
          </m:rPr>
          <m:t>×</m:t>
        </m:r>
      </m:oMath>
      <w:r>
        <w:t xml:space="preserve"> </w:t>
      </w:r>
      <w:r>
        <w:t xml:space="preserve">focal interaction 2,958</w:t>
      </w:r>
      <w:r>
        <w:t xml:space="preserve"> </w:t>
      </w:r>
      <m:oMath>
        <m:sSub>
          <m:e>
            <m:r>
              <m:rPr>
                <m:nor/>
                <m:sty m:val="p"/>
              </m:rPr>
              <m:t>DAI</m:t>
            </m:r>
          </m:e>
          <m:sub>
            <m:r>
              <m:t>z</m:t>
            </m:r>
          </m:sub>
        </m:sSub>
      </m:oMath>
      <w:r>
        <w:t xml:space="preserve"> </w:t>
      </w:r>
      <m:oMath>
        <m:r>
          <m:rPr>
            <m:sty m:val="p"/>
          </m:rPr>
          <m:t>×</m:t>
        </m:r>
      </m:oMath>
      <w:r>
        <w:t xml:space="preserve"> </w:t>
      </w:r>
      <w:r>
        <w:t xml:space="preserve">wave detectable (p = .016); other Only DAI direct shifts</w:t>
      </w:r>
      <w:r>
        <w:t xml:space="preserve"> </w:t>
      </w:r>
      <w:r>
        <w:t xml:space="preserve">(pooled)</w:t>
      </w:r>
      <w:r>
        <w:t xml:space="preserve"> </w:t>
      </w:r>
      <w:r>
        <w:t xml:space="preserve">focal</w:t>
      </w:r>
      <w:r>
        <w:t xml:space="preserve"> </w:t>
      </w:r>
      <m:oMath>
        <m:r>
          <m:rPr>
            <m:sty m:val="p"/>
          </m:rPr>
          <m:t>×</m:t>
        </m:r>
      </m:oMath>
      <w:r>
        <w:t xml:space="preserve"> </w:t>
      </w:r>
      <w:r>
        <w:t xml:space="preserve">wave n.s.</w:t>
      </w:r>
      <w:r>
        <w:t xml:space="preserve"> </w:t>
      </w:r>
      <w:r>
        <w:t xml:space="preserve">cross-wave-separable</w:t>
      </w:r>
      <w:r>
        <w:t xml:space="preserve"> </w:t>
      </w:r>
      <w:r>
        <w:t xml:space="preserve">Density around TP (</w:t>
      </w:r>
      <m:oMath>
        <m:r>
          <m:rPr>
            <m:sty m:val="p"/>
          </m:rPr>
          <m:t>±</m:t>
        </m:r>
      </m:oMath>
      <w:r>
        <w:t xml:space="preserve">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w:t>
      </w:r>
      <w:r>
        <w:t xml:space="preserve"> </w:t>
      </w:r>
      <m:oMath>
        <m:sSub>
          <m:e>
            <m:r>
              <m:rPr>
                <m:nor/>
                <m:sty m:val="p"/>
              </m:rPr>
              <m:t>DAI</m:t>
            </m:r>
          </m:e>
          <m:sub>
            <m:r>
              <m:t>z</m:t>
            </m:r>
          </m:sub>
        </m:sSub>
      </m:oMath>
      <w:r>
        <w:t xml:space="preserve"> </w:t>
      </w:r>
      <w:r>
        <w:t xml:space="preserve">2,298</w:t>
      </w:r>
      <w:r>
        <w:t xml:space="preserve"> </w:t>
      </w:r>
      <m:oMath>
        <m:sSub>
          <m:e>
            <m:r>
              <m:rPr>
                <m:nor/>
                <m:sty m:val="p"/>
              </m:rPr>
              <m:t>DAI</m:t>
            </m:r>
          </m:e>
          <m:sub>
            <m:r>
              <m:t>z</m:t>
            </m:r>
          </m:sub>
        </m:sSub>
      </m:oMath>
      <w:r>
        <w:t xml:space="preserve"> </w:t>
      </w:r>
      <w:r>
        <w:t xml:space="preserve">= 0.018 (p = .942) n.s.</w:t>
      </w:r>
      <w:r>
        <w:t xml:space="preserve"> </w:t>
      </w:r>
      <w:r>
        <w:t xml:space="preserve">First-stage F = 34.6</w:t>
      </w:r>
      <w:r>
        <w:t xml:space="preserve"> </w:t>
      </w:r>
      <w:r>
        <w:t xml:space="preserve">(strong)</w:t>
      </w:r>
      <w:r>
        <w:t xml:space="preserve"> </w:t>
      </w:r>
      <w:r>
        <w:t xml:space="preserve">K. IV / 2SLS,</w:t>
      </w:r>
      <w:r>
        <w:t xml:space="preserve"> </w:t>
      </w:r>
      <m:oMath>
        <m:sSub>
          <m:e>
            <m:r>
              <m:rPr>
                <m:nor/>
                <m:sty m:val="p"/>
              </m:rPr>
              <m:t>TCI</m:t>
            </m:r>
          </m:e>
          <m:sub>
            <m:r>
              <m:t>z</m:t>
            </m:r>
          </m:sub>
        </m:sSub>
      </m:oMath>
      <w:r>
        <w:t xml:space="preserve"> </w:t>
      </w:r>
      <w:r>
        <w:t xml:space="preserve">2,298</w:t>
      </w:r>
      <w:r>
        <w:t xml:space="preserve"> </w:t>
      </w:r>
      <m:oMath>
        <m:sSub>
          <m:e>
            <m:r>
              <m:rPr>
                <m:nor/>
                <m:sty m:val="p"/>
              </m:rPr>
              <m:t>TCI</m:t>
            </m:r>
          </m:e>
          <m:sub>
            <m:r>
              <m:t>z</m:t>
            </m:r>
          </m:sub>
        </m:sSub>
      </m:oMath>
      <w:r>
        <w:t xml:space="preserve"> </w:t>
      </w:r>
      <w:r>
        <w:t xml:space="preserve">=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w:t>
      </w:r>
      <w:r>
        <w:t xml:space="preserve"> </w:t>
      </w:r>
      <m:oMath>
        <m:sSub>
          <m:e>
            <m:r>
              <m:rPr>
                <m:nor/>
                <m:sty m:val="p"/>
              </m:rPr>
              <m:t>FSTS</m:t>
            </m:r>
          </m:e>
          <m:sub>
            <m:r>
              <m:t>c</m:t>
            </m:r>
          </m:sub>
        </m:sSub>
      </m:oMath>
      <w:r>
        <w:t xml:space="preserve"> </w:t>
      </w:r>
      <w:r>
        <w:t xml:space="preserve">0.92 to 0.61;</w:t>
      </w:r>
      <w:r>
        <w:t xml:space="preserve"> </w:t>
      </w:r>
      <m:oMath>
        <m:sSub>
          <m:e>
            <m:r>
              <m:rPr>
                <m:nor/>
                <m:sty m:val="p"/>
              </m:rPr>
              <m:t>FSTS</m:t>
            </m:r>
          </m:e>
          <m:sub>
            <m:r>
              <m:t>c</m:t>
            </m:r>
          </m:sub>
        </m:sSub>
      </m:oMath>
      <w:r>
        <w:t xml:space="preserve">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5">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comparisons support wave-specific heterogeneity in TCI and DAI direct effects but not in the I–P curvature parameters. Turning points (already reported in Table 5 above) are derived from M2 (lnLP =</w:t>
      </w:r>
      <w:r>
        <w:t xml:space="preserve"> </w:t>
      </w:r>
      <m:oMath>
        <m:sSub>
          <m:e>
            <m:r>
              <m:t>β</m:t>
            </m:r>
          </m:e>
          <m:sub>
            <m:r>
              <m:t>0</m:t>
            </m:r>
          </m:sub>
        </m:sSub>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 controls + sector FE [+ wave FE in pooled]) back-transformed to the raw FSTS scale; 95% CI uses the delta method; Lind–Mehlum p-values follow the Sasabuchi-style endpoint test (Lind &amp; Mehlum, 2010). Source: WBES Vietnam 2009, 2015, 2023; authors' calculations.</w:t>
      </w:r>
    </w:p>
    <w:bookmarkEnd w:id="65"/>
    <w:bookmarkEnd w:id="66"/>
    <w:bookmarkEnd w:id="67"/>
    <w:bookmarkStart w:id="73" w:name="X735612638e4e736e4693e459c258977262c0dfc"/>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a structure that pooling exporters and non-exporters in cross-country meta-analyses tends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w:t>
      </w:r>
      <w:r>
        <w:t xml:space="preserve"> </w:t>
      </w:r>
      <m:oMath>
        <m:r>
          <m:rPr>
            <m:sty m:val="p"/>
          </m:rPr>
          <m:t>≈</m:t>
        </m:r>
      </m:oMath>
      <w:r>
        <w:t xml:space="preserve"> </w:t>
      </w:r>
      <w:r>
        <w:t xml:space="preserve">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68" w:name="Xa5f80b6bc0b8dd7b33d639445ac723c1ee9ad4a"/>
    <w:p>
      <w:pPr>
        <w:pStyle w:val="Heading3"/>
      </w:pPr>
      <w:r>
        <w:t xml:space="preserve">5.1 Reinterpreting the baseline website-presence indicator in Vietnam</w:t>
      </w:r>
    </w:p>
    <w:p>
      <w:pPr>
        <w:pStyle w:val="FirstParagraph"/>
      </w:pPr>
      <w:r>
        <w:t xml:space="preserve">The descriptive</w:t>
      </w:r>
      <w:r>
        <w:t xml:space="preserve"> </w:t>
      </w:r>
      <m:oMath>
        <m:sSub>
          <m:e>
            <m:r>
              <m:rPr>
                <m:nor/>
                <m:sty m:val="p"/>
              </m:rPr>
              <m:t>DAI</m:t>
            </m:r>
          </m:e>
          <m:sub>
            <m:r>
              <m:t>z</m:t>
            </m:r>
          </m:sub>
        </m:sSub>
      </m:oMath>
      <w:r>
        <w:t xml:space="preserve"> </w:t>
      </w:r>
      <w:r>
        <w:t xml:space="preserve">findings carry one central implication: baseline website presence in Vietnam should</w:t>
      </w:r>
      <w:r>
        <w:t xml:space="preserve"> </w:t>
      </w:r>
      <w:r>
        <w:t xml:space="preserve">not be read as a universal, temporally stable productivity premium, nor as evidence on dynamic digital capability.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 Framed in capability terms, a Tier-1 website in transitional Vietnam operates as a saturated hygiene factor rather than a differentiating resource: with ownership approaching universality (42.5% in 2009 to 49.8% in 2023), it retains too little cross-firm variance to bend the export–performance curve, so the null is a substantive finding about a saturated threshold rather than a measurement shortfall. The contrast with a companion paper by the present author group on Singapore — where the deeper Tier-1+2 DAI construct amplifies the productivity return at high export intensity — indicates that foundational digital adoption is a context-dependent resource gated by a depth threshold. We disclose this companion-paper link to flag, rather than conceal, that the Singapore comparator is drawn from our own research programme and should be interpreted accordingly. The substantive reading is that only past the shift from digitising information to integrating digital into processes does foundational digital adoption acquire curve-reshaping potency, and only then can it act as a partial substitute for the institutional functions that remain underdeveloped in a transitional economy.</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as seen in repeated cross-sectional snapshots rather than within-firm longitudinal records.</w:t>
      </w:r>
    </w:p>
    <w:bookmarkEnd w:id="68"/>
    <w:bookmarkStart w:id="69"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w:t>
      </w:r>
      <w:r>
        <w:t xml:space="preserve"> </w:t>
      </w:r>
      <m:oMath>
        <m:sSub>
          <m:e>
            <m:r>
              <m:rPr>
                <m:nor/>
                <m:sty m:val="p"/>
              </m:rPr>
              <m:t>TCI</m:t>
            </m:r>
          </m:e>
          <m:sub>
            <m:r>
              <m:t>z</m:t>
            </m:r>
          </m:sub>
        </m:sSub>
      </m:oMath>
      <w:r>
        <w:t xml:space="preserve"> </w:t>
      </w:r>
      <w:r>
        <w:t xml:space="preserve">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w:t>
      </w:r>
      <m:oMath>
        <m:r>
          <m:t>β</m:t>
        </m:r>
      </m:oMath>
      <w:r>
        <w:t xml:space="preserve"> </w:t>
      </w:r>
      <w:r>
        <w:t xml:space="preserve">=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w:t>
      </w:r>
      <w:r>
        <w:t xml:space="preserve"> </w:t>
      </w:r>
      <m:oMath>
        <m:sSub>
          <m:e>
            <m:r>
              <m:rPr>
                <m:nor/>
                <m:sty m:val="p"/>
              </m:rPr>
              <m:t>DAI</m:t>
            </m:r>
          </m:e>
          <m:sub>
            <m:r>
              <m:t>r</m:t>
            </m:r>
          </m:sub>
        </m:sSub>
      </m:oMath>
      <w:r>
        <w:t xml:space="preserve">ich extension reported in 4.5 Panel B reinforces the construct interpretation</w:t>
      </w:r>
      <w:r>
        <w:t xml:space="preserve"> </w:t>
      </w:r>
      <w:r>
        <w:t xml:space="preserve">rather than weakening it. Although the primary</w:t>
      </w:r>
      <w:r>
        <w:t xml:space="preserve"> </w:t>
      </w:r>
      <m:oMath>
        <m:sSub>
          <m:e>
            <m:r>
              <m:rPr>
                <m:nor/>
                <m:sty m:val="p"/>
              </m:rPr>
              <m:t>DAI</m:t>
            </m:r>
          </m:e>
          <m:sub>
            <m:r>
              <m:t>z</m:t>
            </m:r>
          </m:sub>
        </m:sSub>
      </m:oMath>
      <w:r>
        <w:t xml:space="preserve"> </w:t>
      </w:r>
      <w:r>
        <w:t xml:space="preserve">anchored on c22b (website presence) is</w:t>
      </w:r>
      <w:r>
        <w:t xml:space="preserve"> </w:t>
      </w:r>
      <w:r>
        <w:t xml:space="preserve">by 2023 close to a Tier-1 baseline indicator, the</w:t>
      </w:r>
      <w:r>
        <w:t xml:space="preserve"> </w:t>
      </w:r>
      <m:oMath>
        <m:sSub>
          <m:e>
            <m:r>
              <m:rPr>
                <m:nor/>
                <m:sty m:val="p"/>
              </m:rPr>
              <m:t>DAI</m:t>
            </m:r>
          </m:e>
          <m:sub>
            <m:r>
              <m:t>r</m:t>
            </m:r>
          </m:sub>
        </m:sSub>
      </m:oMath>
      <w:r>
        <w:t xml:space="preserve">ich extension available only in 2023 —</w:t>
      </w:r>
      <w:r>
        <w:t xml:space="preserve"> </w:t>
      </w:r>
      <w:r>
        <w:t xml:space="preserve">combining c22b with electronic-payment shares (k33, k38), produces a similarly directioned</w:t>
      </w:r>
      <w:r>
        <w:t xml:space="preserve"> </w:t>
      </w:r>
      <w:r>
        <w:t xml:space="preserve">and a moderation pattern in the same direction (</w:t>
      </w:r>
      <m:oMath>
        <m:sSub>
          <m:e>
            <m:r>
              <m:rPr>
                <m:nor/>
                <m:sty m:val="p"/>
              </m:rPr>
              <m:t>FSTS</m:t>
            </m:r>
          </m:e>
          <m:sub>
            <m:r>
              <m:t>c</m:t>
            </m:r>
          </m:sub>
        </m:sSub>
        <m:r>
          <m:rPr>
            <m:sty m:val="p"/>
          </m:rPr>
          <m:t>×</m:t>
        </m:r>
        <m:sSub>
          <m:e>
            <m:r>
              <m:rPr>
                <m:nor/>
                <m:sty m:val="p"/>
              </m:rPr>
              <m:t>DAI</m:t>
            </m:r>
          </m:e>
          <m:sub>
            <m:r>
              <m:t>r</m:t>
            </m:r>
          </m:sub>
        </m:sSub>
      </m:oMath>
      <w:r>
        <w:t xml:space="preserve">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primary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m:oMath>
        <m:sSub>
          <m:e>
            <m:r>
              <m:rPr>
                <m:nor/>
                <m:sty m:val="p"/>
              </m:rPr>
              <m:t>TCI</m:t>
            </m:r>
          </m:e>
          <m:sub>
            <m:r>
              <m:t>z</m:t>
            </m:r>
          </m:sub>
        </m:sSub>
      </m:oMath>
      <w:r>
        <w:t xml:space="preserve"> </w:t>
      </w:r>
      <w:r>
        <w:t xml:space="preserve">behaves like a</w:t>
      </w:r>
    </w:p>
    <w:p>
      <w:pPr>
        <w:pStyle w:val="BodyText"/>
      </w:pPr>
      <w:r>
        <w:t xml:space="preserve">robust foreign-technology / standards capability whose productivity association survives both</w:t>
      </w:r>
      <w:r>
        <w:t xml:space="preserve"> </w:t>
      </w:r>
      <w:r>
        <w:t xml:space="preserve">PSM and 2SLS.</w:t>
      </w:r>
      <w:r>
        <w:t xml:space="preserve"> </w:t>
      </w:r>
      <m:oMath>
        <m:sSub>
          <m:e>
            <m:r>
              <m:rPr>
                <m:nor/>
                <m:sty m:val="p"/>
              </m:rPr>
              <m:t>DAI</m:t>
            </m:r>
          </m:e>
          <m:sub>
            <m:r>
              <m:t>z</m:t>
            </m:r>
          </m:sub>
        </m:sSub>
      </m:oMath>
      <w:r>
        <w:t xml:space="preserve"> </w:t>
      </w:r>
      <w:r>
        <w:t xml:space="preserve">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9"/>
    <w:bookmarkStart w:id="70"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w:t>
      </w:r>
      <w:r>
        <w:t xml:space="preserve"> </w:t>
      </w:r>
      <m:oMath>
        <m:r>
          <m:rPr>
            <m:sty m:val="p"/>
          </m:rPr>
          <m:t>×</m:t>
        </m:r>
      </m:oMath>
      <w:r>
        <w:t xml:space="preserve"> </w:t>
      </w:r>
      <w:r>
        <w:t xml:space="preserve">focal interaction test detects only the DAI direct shifts as cross-wavedistinguishable; the FSTS curvature and the</w:t>
      </w:r>
      <w:r>
        <w:t xml:space="preserve"> </w:t>
      </w:r>
      <m:oMath>
        <m:r>
          <m:rPr>
            <m:nor/>
            <m:sty m:val="p"/>
          </m:rPr>
          <m:t>FSTS</m:t>
        </m:r>
        <m:r>
          <m:rPr>
            <m:sty m:val="p"/>
          </m:rPr>
          <m:t>×</m:t>
        </m:r>
        <m:r>
          <m:rPr>
            <m:nor/>
            <m:sty m:val="p"/>
          </m:rPr>
          <m:t>DAI</m:t>
        </m:r>
      </m:oMath>
      <w:r>
        <w:t xml:space="preserve"> </w:t>
      </w:r>
      <w:r>
        <w:t xml:space="preserve">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70"/>
    <w:bookmarkStart w:id="71" w:name="Xd9a4ebc909e2b14dcfe03b7b8686207326328b4"/>
    <w:p>
      <w:pPr>
        <w:pStyle w:val="Heading3"/>
      </w:pPr>
      <w:r>
        <w:t xml:space="preserve">5.4 Managerial implications</w:t>
      </w:r>
    </w:p>
    <w:p>
      <w:pPr>
        <w:pStyle w:val="FirstParagraph"/>
      </w:pPr>
      <w:r>
        <w:t xml:space="preserve">The managerial implications below should be read as</w:t>
      </w:r>
      <w:r>
        <w:t xml:space="preserve"> </w:t>
      </w:r>
      <w:r>
        <w:rPr>
          <w:iCs/>
          <w:i/>
        </w:rPr>
        <w:t xml:space="preserve">associational stage characterizations</w:t>
      </w:r>
      <w:r>
        <w:t xml:space="preserve"> </w:t>
      </w:r>
      <w:r>
        <w:t xml:space="preserve">given the cross-sectional WBES design, not as causal cost-of-capital optimisation. The stage thresholds (FSTS = 0, FSTS = 30%, FSTS = 39–46%) are anchored at point estimates that carry meaningful uncertainty (the turning-point 95% CIs span roughly 30–50% FSTS in pooled M2), so the qualitative stage logic — composition of capability investment shifts with relative position on the I-P curve — is more robust than any specific FSTS boundary. With this caveat, the managerial implication is not that firms should invest less in digitalisation, but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approximately 39–46%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w:t>
      </w:r>
      <w:r>
        <w:rPr>
          <w:iCs/>
          <w:i/>
        </w:rPr>
        <w:t xml:space="preserve"> </w:t>
      </w:r>
      <m:oMath>
        <m:r>
          <m:rPr>
            <m:sty m:val="p"/>
          </m:rPr>
          <m:t>≈</m:t>
        </m:r>
      </m:oMath>
      <w:r>
        <w:rPr>
          <w:iCs/>
          <w:i/>
        </w:rPr>
        <w:t xml:space="preserve"> </w:t>
      </w:r>
      <w:r>
        <w:rPr>
          <w:iCs/>
          <w:i/>
        </w:rPr>
        <w:t xml:space="preserve">30–46 %).</w:t>
      </w:r>
      <w:r>
        <w:t xml:space="preserve"> </w:t>
      </w:r>
      <w:r>
        <w:t xml:space="preserve">The TCI direct association (pooled</w:t>
      </w:r>
      <w:r>
        <w:t xml:space="preserve"> </w:t>
      </w:r>
      <m:oMath>
        <m:r>
          <m:t>β</m:t>
        </m:r>
      </m:oMath>
      <w:r>
        <w:t xml:space="preserve"> </w:t>
      </w:r>
      <w:r>
        <w:t xml:space="preserve">= 0.179, p &lt; .001; instrumented</w:t>
      </w:r>
      <w:r>
        <w:t xml:space="preserve"> </w:t>
      </w:r>
      <m:oMath>
        <m:r>
          <m:t>β</m:t>
        </m:r>
      </m:oMath>
      <w:r>
        <w:t xml:space="preserve"> </w:t>
      </w:r>
      <w:r>
        <w:t xml:space="preserve">=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w:t>
      </w:r>
      <w:r>
        <w:t xml:space="preserve"> </w:t>
      </w:r>
      <m:oMath>
        <m:r>
          <m:rPr>
            <m:nor/>
            <m:sty m:val="p"/>
          </m:rPr>
          <m:t>FSTS</m:t>
        </m:r>
        <m:r>
          <m:rPr>
            <m:sty m:val="p"/>
          </m:rPr>
          <m:t>×</m:t>
        </m:r>
        <m:sSub>
          <m:e>
            <m:r>
              <m:rPr>
                <m:nor/>
                <m:sty m:val="p"/>
              </m:rPr>
              <m:t>DAI</m:t>
            </m:r>
          </m:e>
          <m:sub>
            <m:r>
              <m:t>z</m:t>
            </m:r>
          </m:sub>
        </m:sSub>
      </m:oMath>
      <w:r>
        <w:t xml:space="preserve"> </w:t>
      </w:r>
      <w:r>
        <w:t xml:space="preserve">interaction observed in 2023 (</w:t>
      </w:r>
      <m:oMath>
        <m:r>
          <m:t>β</m:t>
        </m:r>
      </m:oMath>
      <w:r>
        <w:t xml:space="preserve"> </w:t>
      </w:r>
      <w:r>
        <w:t xml:space="preserve">=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w:t>
      </w:r>
      <w:r>
        <w:t xml:space="preserve"> </w:t>
      </w:r>
      <m:oMath>
        <m:sSub>
          <m:e>
            <m:r>
              <m:rPr>
                <m:nor/>
                <m:sty m:val="p"/>
              </m:rPr>
              <m:t>DAI</m:t>
            </m:r>
          </m:e>
          <m:sub>
            <m:r>
              <m:t>r</m:t>
            </m:r>
          </m:sub>
        </m:sSub>
      </m:oMath>
      <w:r>
        <w:t xml:space="preserve">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71"/>
    <w:bookmarkStart w:id="72" w:name="X0d482379a65faf52764848d2b168aee0725ece4"/>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72"/>
    <w:bookmarkEnd w:id="73"/>
    <w:bookmarkStart w:id="74" w:name="Xf3d63d3bef15b3e862b66ed5bd48a577996a1bc"/>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w:t>
      </w:r>
      <w:r>
        <w:t xml:space="preserve"> </w:t>
      </w:r>
      <m:oMath>
        <m:sSub>
          <m:e>
            <m:r>
              <m:rPr>
                <m:nor/>
                <m:sty m:val="p"/>
              </m:rPr>
              <m:t>DAI</m:t>
            </m:r>
          </m:e>
          <m:sub>
            <m:r>
              <m:t>z</m:t>
            </m:r>
          </m:sub>
        </m:sSub>
      </m:oMath>
      <w:r>
        <w:t xml:space="preserve"> </w:t>
      </w:r>
      <w:r>
        <w:t xml:space="preserve">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w:t>
      </w:r>
      <w:r>
        <w:t xml:space="preserve"> </w:t>
      </w:r>
      <m:oMath>
        <m:sSub>
          <m:e>
            <m:r>
              <m:rPr>
                <m:nor/>
                <m:sty m:val="p"/>
              </m:rPr>
              <m:t>DAI</m:t>
            </m:r>
          </m:e>
          <m:sub>
            <m:r>
              <m:t>z</m:t>
            </m:r>
          </m:sub>
        </m:sSub>
      </m:oMath>
      <w:r>
        <w:t xml:space="preserve"> </w:t>
      </w:r>
      <w:r>
        <w:t xml:space="preserve">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4"/>
    <w:bookmarkStart w:id="75" w:name="X19cad7d15381a9dfa000caf49ac5c69889e188d"/>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critically,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coordination capacity, contract enforcement, and trade-finance access,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 "digital adoption" or "digital transformation" label would obscure their differing identification properties. Technological capability is comparatively stable and identification-robust across specifications; the baseline</w:t>
      </w:r>
      <w:r>
        <w:t xml:space="preserve"> </w:t>
      </w:r>
      <m:oMath>
        <m:sSub>
          <m:e>
            <m:r>
              <m:rPr>
                <m:nor/>
                <m:sty m:val="p"/>
              </m:rPr>
              <m:t>DAI</m:t>
            </m:r>
          </m:e>
          <m:sub>
            <m:r>
              <m:t>z</m:t>
            </m:r>
          </m:sub>
        </m:sSub>
      </m:oMath>
      <w:r>
        <w:t xml:space="preserve"> </w:t>
      </w:r>
      <w:r>
        <w:t xml:space="preserve">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5"/>
    <w:bookmarkStart w:id="76" w:name="conflict-of-interest"/>
    <w:p>
      <w:pPr>
        <w:pStyle w:val="Heading2"/>
      </w:pPr>
      <w:r>
        <w:t xml:space="preserve">Conflict of interest</w:t>
      </w:r>
    </w:p>
    <w:p>
      <w:pPr>
        <w:pStyle w:val="FirstParagraph"/>
      </w:pPr>
      <w:r>
        <w:t xml:space="preserve">The authors declare no conflict of interest.</w:t>
      </w:r>
    </w:p>
    <w:bookmarkEnd w:id="76"/>
    <w:bookmarkStart w:id="77"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7"/>
    <w:bookmarkStart w:id="78"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8"/>
    <w:bookmarkStart w:id="79"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9"/>
    <w:bookmarkStart w:id="8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80"/>
    <w:bookmarkStart w:id="81"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81"/>
    <w:bookmarkStart w:id="131"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82">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83">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4">
        <w:r>
          <w:rPr>
            <w:rStyle w:val="Hyperlink"/>
          </w:rPr>
          <w:t xml:space="preserve">https://doi.org/10.1057/s41267-019-00243-7</w:t>
        </w:r>
      </w:hyperlink>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5">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6">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7">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8">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89">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0">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91">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92">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93">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4">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95">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6">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7">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98">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99">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100">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101">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102">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103">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104">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5">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6">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7">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8">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09">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0">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11">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12">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13">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4">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5">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6">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7">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8">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19">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20">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1">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22">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23">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4">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5">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6">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7">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8">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29">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30">
        <w:r>
          <w:rPr>
            <w:rStyle w:val="Hyperlink"/>
          </w:rPr>
          <w:t xml:space="preserve">https://doi.org/10.1016/j.jwb.2015.09.001</w:t>
        </w:r>
      </w:hyperlink>
    </w:p>
    <w:bookmarkEnd w:id="131"/>
    <w:bookmarkEnd w:id="13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45" Target="http://www.enterprisesurveys.org;" TargetMode="External" /><Relationship Type="http://schemas.openxmlformats.org/officeDocument/2006/relationships/hyperlink" Id="rId127" Target="https://databank.worldbank.org/source/world-development-indicators" TargetMode="External" /><Relationship Type="http://schemas.openxmlformats.org/officeDocument/2006/relationships/hyperlink" Id="rId94" Target="https://doi.org/10.1002/1097-0266(200010/11)21:10/11%3C1105::AID-SMJ133%3E3.0.CO;2-E" TargetMode="External" /><Relationship Type="http://schemas.openxmlformats.org/officeDocument/2006/relationships/hyperlink" Id="rId116" Target="https://doi.org/10.1002/gsj.1336" TargetMode="External" /><Relationship Type="http://schemas.openxmlformats.org/officeDocument/2006/relationships/hyperlink" Id="rId119" Target="https://doi.org/10.1002/gsj.1375" TargetMode="External" /><Relationship Type="http://schemas.openxmlformats.org/officeDocument/2006/relationships/hyperlink" Id="rId100" Target="https://doi.org/10.1002/gsj.8" TargetMode="External" /><Relationship Type="http://schemas.openxmlformats.org/officeDocument/2006/relationships/hyperlink" Id="rId102" Target="https://doi.org/10.1002/smj.2379" TargetMode="External" /><Relationship Type="http://schemas.openxmlformats.org/officeDocument/2006/relationships/hyperlink" Id="rId96" Target="https://doi.org/10.1002/smj.2399" TargetMode="External" /><Relationship Type="http://schemas.openxmlformats.org/officeDocument/2006/relationships/hyperlink" Id="rId89" Target="https://doi.org/10.1002/smj.2475" TargetMode="External" /><Relationship Type="http://schemas.openxmlformats.org/officeDocument/2006/relationships/hyperlink" Id="rId125" Target="https://doi.org/10.1002/smj.2995" TargetMode="External" /><Relationship Type="http://schemas.openxmlformats.org/officeDocument/2006/relationships/hyperlink" Id="rId112" Target="https://doi.org/10.1002/smj.3087" TargetMode="External" /><Relationship Type="http://schemas.openxmlformats.org/officeDocument/2006/relationships/hyperlink" Id="rId118" Target="https://doi.org/10.1002/smj.640" TargetMode="External" /><Relationship Type="http://schemas.openxmlformats.org/officeDocument/2006/relationships/hyperlink" Id="rId99" Target="https://doi.org/10.1007/s11575-007-0023-3" TargetMode="External" /><Relationship Type="http://schemas.openxmlformats.org/officeDocument/2006/relationships/hyperlink" Id="rId91" Target="https://doi.org/10.1007/s11575-007-0024-2" TargetMode="External" /><Relationship Type="http://schemas.openxmlformats.org/officeDocument/2006/relationships/hyperlink" Id="rId129" Target="https://doi.org/10.1007/s11575-022-00466-1" TargetMode="External" /><Relationship Type="http://schemas.openxmlformats.org/officeDocument/2006/relationships/hyperlink" Id="rId104" Target="https://doi.org/10.1016/0305-750X(92)90097-F" TargetMode="External" /><Relationship Type="http://schemas.openxmlformats.org/officeDocument/2006/relationships/hyperlink" Id="rId121" Target="https://doi.org/10.1016/j.jbusres.2019.09.022" TargetMode="External" /><Relationship Type="http://schemas.openxmlformats.org/officeDocument/2006/relationships/hyperlink" Id="rId123" Target="https://doi.org/10.1016/j.jsis.2019.01.003" TargetMode="External" /><Relationship Type="http://schemas.openxmlformats.org/officeDocument/2006/relationships/hyperlink" Id="rId103" Target="https://doi.org/10.1016/j.jwb.2015.08.011" TargetMode="External" /><Relationship Type="http://schemas.openxmlformats.org/officeDocument/2006/relationships/hyperlink" Id="rId130" Target="https://doi.org/10.1016/j.jwb.2015.09.001" TargetMode="External" /><Relationship Type="http://schemas.openxmlformats.org/officeDocument/2006/relationships/hyperlink" Id="rId83" Target="https://doi.org/10.1016/j.leaqua.2010.10.010" TargetMode="External" /><Relationship Type="http://schemas.openxmlformats.org/officeDocument/2006/relationships/hyperlink" Id="rId108" Target="https://doi.org/10.1016/j.respol.2019.03.018" TargetMode="External" /><Relationship Type="http://schemas.openxmlformats.org/officeDocument/2006/relationships/hyperlink" Id="rId87" Target="https://doi.org/10.1057/jibs.2015.20" TargetMode="External" /><Relationship Type="http://schemas.openxmlformats.org/officeDocument/2006/relationships/hyperlink" Id="rId93" Target="https://doi.org/10.1057/palgrave.jibs.8400390" TargetMode="External" /><Relationship Type="http://schemas.openxmlformats.org/officeDocument/2006/relationships/hyperlink" Id="rId120" Target="https://doi.org/10.1057/s41267-017-0107-7" TargetMode="External" /><Relationship Type="http://schemas.openxmlformats.org/officeDocument/2006/relationships/hyperlink" Id="rId92" Target="https://doi.org/10.1057/s41267-017-0120-x" TargetMode="External" /><Relationship Type="http://schemas.openxmlformats.org/officeDocument/2006/relationships/hyperlink" Id="rId84" Target="https://doi.org/10.1057/s41267-019-00243-7" TargetMode="External" /><Relationship Type="http://schemas.openxmlformats.org/officeDocument/2006/relationships/hyperlink" Id="rId111" Target="https://doi.org/10.1057/s41267-019-00269-x" TargetMode="External" /><Relationship Type="http://schemas.openxmlformats.org/officeDocument/2006/relationships/hyperlink" Id="rId109" Target="https://doi.org/10.1080/07350015.2016.1227711" TargetMode="External" /><Relationship Type="http://schemas.openxmlformats.org/officeDocument/2006/relationships/hyperlink" Id="rId117" Target="https://doi.org/10.1108/MBR-05-2017-0028" TargetMode="External" /><Relationship Type="http://schemas.openxmlformats.org/officeDocument/2006/relationships/hyperlink" Id="rId128" Target="https://doi.org/10.1111/j.1467-6486.2005.00487.x" TargetMode="External" /><Relationship Type="http://schemas.openxmlformats.org/officeDocument/2006/relationships/hyperlink" Id="rId124" Target="https://doi.org/10.1111/j.1467-9701.2007.00872.x" TargetMode="External" /><Relationship Type="http://schemas.openxmlformats.org/officeDocument/2006/relationships/hyperlink" Id="rId122" Target="https://doi.org/10.1111/j.1468-0084.1979.mp41004002.x" TargetMode="External" /><Relationship Type="http://schemas.openxmlformats.org/officeDocument/2006/relationships/hyperlink" Id="rId105" Target="https://doi.org/10.1111/j.1468-0084.2009.00569.x" TargetMode="External" /><Relationship Type="http://schemas.openxmlformats.org/officeDocument/2006/relationships/hyperlink" Id="rId110" Target="https://doi.org/10.1111/j.1745-9125.1998.tb01268.x" TargetMode="External" /><Relationship Type="http://schemas.openxmlformats.org/officeDocument/2006/relationships/hyperlink" Id="rId97" Target="https://doi.org/10.1111/joms.12639" TargetMode="External" /><Relationship Type="http://schemas.openxmlformats.org/officeDocument/2006/relationships/hyperlink" Id="rId107" Target="https://doi.org/10.1177/0149206315624963" TargetMode="External" /><Relationship Type="http://schemas.openxmlformats.org/officeDocument/2006/relationships/hyperlink" Id="rId114" Target="https://doi.org/10.1177/0149206319846272" TargetMode="External" /><Relationship Type="http://schemas.openxmlformats.org/officeDocument/2006/relationships/hyperlink" Id="rId82" Target="https://doi.org/10.1177/1094428119836485" TargetMode="External" /><Relationship Type="http://schemas.openxmlformats.org/officeDocument/2006/relationships/hyperlink" Id="rId95" Target="https://doi.org/10.1257/jel.20171452" TargetMode="External" /><Relationship Type="http://schemas.openxmlformats.org/officeDocument/2006/relationships/hyperlink" Id="rId85" Target="https://doi.org/10.1257/jep.21.3.105" TargetMode="External" /><Relationship Type="http://schemas.openxmlformats.org/officeDocument/2006/relationships/hyperlink" Id="rId88" Target="https://doi.org/10.1257/mac.20180386" TargetMode="External" /><Relationship Type="http://schemas.openxmlformats.org/officeDocument/2006/relationships/hyperlink" Id="rId98" Target="https://doi.org/10.2307/1912352" TargetMode="External" /><Relationship Type="http://schemas.openxmlformats.org/officeDocument/2006/relationships/hyperlink" Id="rId106" Target="https://doi.org/10.2307/20159604" TargetMode="External" /><Relationship Type="http://schemas.openxmlformats.org/officeDocument/2006/relationships/hyperlink" Id="rId115" Target="https://doi.org/10.2307/2171753" TargetMode="External" /><Relationship Type="http://schemas.openxmlformats.org/officeDocument/2006/relationships/hyperlink" Id="rId90" Target="https://doi.org/10.2307/2393553" TargetMode="External" /><Relationship Type="http://schemas.openxmlformats.org/officeDocument/2006/relationships/hyperlink" Id="rId86" Target="https://doi.org/10.25300/misq/2013/37:2.3" TargetMode="External" /><Relationship Type="http://schemas.openxmlformats.org/officeDocument/2006/relationships/hyperlink" Id="rId113"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1"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45" Target="http://www.enterprisesurveys.org;" TargetMode="External" /><Relationship Type="http://schemas.openxmlformats.org/officeDocument/2006/relationships/hyperlink" Id="rId127" Target="https://databank.worldbank.org/source/world-development-indicators" TargetMode="External" /><Relationship Type="http://schemas.openxmlformats.org/officeDocument/2006/relationships/hyperlink" Id="rId94" Target="https://doi.org/10.1002/1097-0266(200010/11)21:10/11%3C1105::AID-SMJ133%3E3.0.CO;2-E" TargetMode="External" /><Relationship Type="http://schemas.openxmlformats.org/officeDocument/2006/relationships/hyperlink" Id="rId116" Target="https://doi.org/10.1002/gsj.1336" TargetMode="External" /><Relationship Type="http://schemas.openxmlformats.org/officeDocument/2006/relationships/hyperlink" Id="rId119" Target="https://doi.org/10.1002/gsj.1375" TargetMode="External" /><Relationship Type="http://schemas.openxmlformats.org/officeDocument/2006/relationships/hyperlink" Id="rId100" Target="https://doi.org/10.1002/gsj.8" TargetMode="External" /><Relationship Type="http://schemas.openxmlformats.org/officeDocument/2006/relationships/hyperlink" Id="rId102" Target="https://doi.org/10.1002/smj.2379" TargetMode="External" /><Relationship Type="http://schemas.openxmlformats.org/officeDocument/2006/relationships/hyperlink" Id="rId96" Target="https://doi.org/10.1002/smj.2399" TargetMode="External" /><Relationship Type="http://schemas.openxmlformats.org/officeDocument/2006/relationships/hyperlink" Id="rId89" Target="https://doi.org/10.1002/smj.2475" TargetMode="External" /><Relationship Type="http://schemas.openxmlformats.org/officeDocument/2006/relationships/hyperlink" Id="rId125" Target="https://doi.org/10.1002/smj.2995" TargetMode="External" /><Relationship Type="http://schemas.openxmlformats.org/officeDocument/2006/relationships/hyperlink" Id="rId112" Target="https://doi.org/10.1002/smj.3087" TargetMode="External" /><Relationship Type="http://schemas.openxmlformats.org/officeDocument/2006/relationships/hyperlink" Id="rId118" Target="https://doi.org/10.1002/smj.640" TargetMode="External" /><Relationship Type="http://schemas.openxmlformats.org/officeDocument/2006/relationships/hyperlink" Id="rId99" Target="https://doi.org/10.1007/s11575-007-0023-3" TargetMode="External" /><Relationship Type="http://schemas.openxmlformats.org/officeDocument/2006/relationships/hyperlink" Id="rId91" Target="https://doi.org/10.1007/s11575-007-0024-2" TargetMode="External" /><Relationship Type="http://schemas.openxmlformats.org/officeDocument/2006/relationships/hyperlink" Id="rId129" Target="https://doi.org/10.1007/s11575-022-00466-1" TargetMode="External" /><Relationship Type="http://schemas.openxmlformats.org/officeDocument/2006/relationships/hyperlink" Id="rId104" Target="https://doi.org/10.1016/0305-750X(92)90097-F" TargetMode="External" /><Relationship Type="http://schemas.openxmlformats.org/officeDocument/2006/relationships/hyperlink" Id="rId121" Target="https://doi.org/10.1016/j.jbusres.2019.09.022" TargetMode="External" /><Relationship Type="http://schemas.openxmlformats.org/officeDocument/2006/relationships/hyperlink" Id="rId123" Target="https://doi.org/10.1016/j.jsis.2019.01.003" TargetMode="External" /><Relationship Type="http://schemas.openxmlformats.org/officeDocument/2006/relationships/hyperlink" Id="rId103" Target="https://doi.org/10.1016/j.jwb.2015.08.011" TargetMode="External" /><Relationship Type="http://schemas.openxmlformats.org/officeDocument/2006/relationships/hyperlink" Id="rId130" Target="https://doi.org/10.1016/j.jwb.2015.09.001" TargetMode="External" /><Relationship Type="http://schemas.openxmlformats.org/officeDocument/2006/relationships/hyperlink" Id="rId83" Target="https://doi.org/10.1016/j.leaqua.2010.10.010" TargetMode="External" /><Relationship Type="http://schemas.openxmlformats.org/officeDocument/2006/relationships/hyperlink" Id="rId108" Target="https://doi.org/10.1016/j.respol.2019.03.018" TargetMode="External" /><Relationship Type="http://schemas.openxmlformats.org/officeDocument/2006/relationships/hyperlink" Id="rId87" Target="https://doi.org/10.1057/jibs.2015.20" TargetMode="External" /><Relationship Type="http://schemas.openxmlformats.org/officeDocument/2006/relationships/hyperlink" Id="rId93" Target="https://doi.org/10.1057/palgrave.jibs.8400390" TargetMode="External" /><Relationship Type="http://schemas.openxmlformats.org/officeDocument/2006/relationships/hyperlink" Id="rId120" Target="https://doi.org/10.1057/s41267-017-0107-7" TargetMode="External" /><Relationship Type="http://schemas.openxmlformats.org/officeDocument/2006/relationships/hyperlink" Id="rId92" Target="https://doi.org/10.1057/s41267-017-0120-x" TargetMode="External" /><Relationship Type="http://schemas.openxmlformats.org/officeDocument/2006/relationships/hyperlink" Id="rId84" Target="https://doi.org/10.1057/s41267-019-00243-7" TargetMode="External" /><Relationship Type="http://schemas.openxmlformats.org/officeDocument/2006/relationships/hyperlink" Id="rId111" Target="https://doi.org/10.1057/s41267-019-00269-x" TargetMode="External" /><Relationship Type="http://schemas.openxmlformats.org/officeDocument/2006/relationships/hyperlink" Id="rId109" Target="https://doi.org/10.1080/07350015.2016.1227711" TargetMode="External" /><Relationship Type="http://schemas.openxmlformats.org/officeDocument/2006/relationships/hyperlink" Id="rId117" Target="https://doi.org/10.1108/MBR-05-2017-0028" TargetMode="External" /><Relationship Type="http://schemas.openxmlformats.org/officeDocument/2006/relationships/hyperlink" Id="rId128" Target="https://doi.org/10.1111/j.1467-6486.2005.00487.x" TargetMode="External" /><Relationship Type="http://schemas.openxmlformats.org/officeDocument/2006/relationships/hyperlink" Id="rId124" Target="https://doi.org/10.1111/j.1467-9701.2007.00872.x" TargetMode="External" /><Relationship Type="http://schemas.openxmlformats.org/officeDocument/2006/relationships/hyperlink" Id="rId122" Target="https://doi.org/10.1111/j.1468-0084.1979.mp41004002.x" TargetMode="External" /><Relationship Type="http://schemas.openxmlformats.org/officeDocument/2006/relationships/hyperlink" Id="rId105" Target="https://doi.org/10.1111/j.1468-0084.2009.00569.x" TargetMode="External" /><Relationship Type="http://schemas.openxmlformats.org/officeDocument/2006/relationships/hyperlink" Id="rId110" Target="https://doi.org/10.1111/j.1745-9125.1998.tb01268.x" TargetMode="External" /><Relationship Type="http://schemas.openxmlformats.org/officeDocument/2006/relationships/hyperlink" Id="rId97" Target="https://doi.org/10.1111/joms.12639" TargetMode="External" /><Relationship Type="http://schemas.openxmlformats.org/officeDocument/2006/relationships/hyperlink" Id="rId107" Target="https://doi.org/10.1177/0149206315624963" TargetMode="External" /><Relationship Type="http://schemas.openxmlformats.org/officeDocument/2006/relationships/hyperlink" Id="rId114" Target="https://doi.org/10.1177/0149206319846272" TargetMode="External" /><Relationship Type="http://schemas.openxmlformats.org/officeDocument/2006/relationships/hyperlink" Id="rId82" Target="https://doi.org/10.1177/1094428119836485" TargetMode="External" /><Relationship Type="http://schemas.openxmlformats.org/officeDocument/2006/relationships/hyperlink" Id="rId95" Target="https://doi.org/10.1257/jel.20171452" TargetMode="External" /><Relationship Type="http://schemas.openxmlformats.org/officeDocument/2006/relationships/hyperlink" Id="rId85" Target="https://doi.org/10.1257/jep.21.3.105" TargetMode="External" /><Relationship Type="http://schemas.openxmlformats.org/officeDocument/2006/relationships/hyperlink" Id="rId88" Target="https://doi.org/10.1257/mac.20180386" TargetMode="External" /><Relationship Type="http://schemas.openxmlformats.org/officeDocument/2006/relationships/hyperlink" Id="rId98" Target="https://doi.org/10.2307/1912352" TargetMode="External" /><Relationship Type="http://schemas.openxmlformats.org/officeDocument/2006/relationships/hyperlink" Id="rId106" Target="https://doi.org/10.2307/20159604" TargetMode="External" /><Relationship Type="http://schemas.openxmlformats.org/officeDocument/2006/relationships/hyperlink" Id="rId115" Target="https://doi.org/10.2307/2171753" TargetMode="External" /><Relationship Type="http://schemas.openxmlformats.org/officeDocument/2006/relationships/hyperlink" Id="rId90" Target="https://doi.org/10.2307/2393553" TargetMode="External" /><Relationship Type="http://schemas.openxmlformats.org/officeDocument/2006/relationships/hyperlink" Id="rId86" Target="https://doi.org/10.25300/misq/2013/37:2.3" TargetMode="External" /><Relationship Type="http://schemas.openxmlformats.org/officeDocument/2006/relationships/hyperlink" Id="rId113"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1"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2026-05-30T15:55:25Z</dcterms:created>
  <dcterms:modified xsi:type="dcterms:W3CDTF">2026-05-30T15:55:25Z</dcterms:modified>
</cp:coreProperties>
</file>

<file path=docProps/custom.xml><?xml version="1.0" encoding="utf-8"?>
<Properties xmlns="http://schemas.openxmlformats.org/officeDocument/2006/custom-properties" xmlns:vt="http://schemas.openxmlformats.org/officeDocument/2006/docPropsVTypes"/>
</file>