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(đổi mới dẫn dắt so với tài nguyên dẫn dắt; innovation- vs.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w:t>
            </w:r>
            <w:r>
              <w:t xml:space="preserve"> </w:t>
            </w:r>
            <m:oMath>
              <m:r>
                <m:t>Δ</m:t>
              </m:r>
            </m:oMath>
            <w:r>
              <w:t xml:space="preserve"> </w:t>
            </w:r>
            <w:r>
              <w:t xml:space="preserve">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w:t>
            </w:r>
            <m:oMath>
              <m:r>
                <m:t>Δ</m:t>
              </m:r>
            </m:oMath>
            <w:r>
              <w:t xml:space="preserve"> </w:t>
            </w:r>
            <w:r>
              <w:t xml:space="preserve">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(Bậc 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(Bậc 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Diện mạo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Bậc 1 và Bậc 2</w:t>
      </w:r>
      <w:r>
        <w:t xml:space="preserve">: Bộ câu hỏi PICS3/Standardized chỉ có website nhị phân (Bậc 1). BREADY có Bậc 2 nhưng không đo Bậc 3/4. Chuyên đề chỉ phát biểu về phần bù Bậc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Bậc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Toàn cảnh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(đổi mới dẫn dắt so với tài nguyên dẫn dắt),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Bậc 1 (website nhị phân, tiệm cận bão hòa ở Advanced) và Bậc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Bậc 1 Sự hiện diện số cơ bản</w:t>
      </w:r>
      <w:r>
        <w:t xml:space="preserve">. Spec 2 (BREADY 2018+ trở lên): tổng hợp chuẩn hóa z website + cường độ thanh toán điện tử (k33/k38),</w:t>
      </w:r>
      <w:r>
        <w:t xml:space="preserve"> </w:t>
      </w:r>
      <w:r>
        <w:rPr>
          <w:bCs/>
          <w:b/>
        </w:rPr>
        <w:t xml:space="preserve">Bậc 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trong nội tệ / số lao động toàn thời gian), chuẩn hóa z trong từng cặp nền kinh tế × năm để bảo đảm so sánh được (xem Mục 2.3.1.1).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(Bậc 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36 nghiên cứu</w:t>
      </w:r>
      <w:r>
        <w:t xml:space="preserve"> </w:t>
      </w:r>
      <w:r>
        <w:t xml:space="preserve">(41 mẫu) giai đoạn 1980–2005. Hệ số tương quan trung bình dương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152 mẫu</w:t>
      </w:r>
      <w:r>
        <w:t xml:space="preserve"> </w:t>
      </w:r>
      <w:r>
        <w:t xml:space="preserve">(141 nghiên cứu) 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 Bổ sung cho hướng này, Beugelsdijk et al. (2018), qua một phân tích tổng hợp về khoảng cách văn hóa và quá trình quốc tế hóa của doanh nghiệp, cho thấy hệ quả của quốc tế hóa thay đổi một cách hệ thống theo khoảng cách văn hóa và thể chế giữa thị trường nguồn và thị trường đích, củng cố nền tảng lý thuyết cho việc phân nhóm theo phổ thể chế ICRV sáu nhóm.</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Wood và Khan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Bậc 1 và Bậc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Bậc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4ca83cf2abcff6a48f6b1f7c0413cca47df7dba"/>
    <w:p>
      <w:pPr>
        <w:pStyle w:val="Heading4"/>
      </w:pPr>
      <w:r>
        <w:t xml:space="preserve">2.3.1.6 Khung 4 Bậc chuyển đổi số và Mô hình CDCM</w:t>
      </w:r>
    </w:p>
    <w:p>
      <w:pPr>
        <w:pStyle w:val="FirstParagraph"/>
      </w:pPr>
      <w:r>
        <w:rPr>
          <w:bCs/>
          <w:b/>
        </w:rPr>
        <w:t xml:space="preserve">Bốn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Bậc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Bậc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Bậc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Bậc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Bậc 1–2, không Bậc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(Bậc 1 = website only) sang</w:t>
      </w:r>
      <w:r>
        <w:t xml:space="preserve"> </w:t>
      </w:r>
      <w:r>
        <w:rPr>
          <w:bCs/>
          <w:b/>
        </w:rPr>
        <w:t xml:space="preserve">phụ thuộc giai đoạn</w:t>
      </w:r>
      <w:r>
        <w:t xml:space="preserve">: tương tác</w:t>
      </w:r>
      <w:r>
        <w:t xml:space="preserve"> </w:t>
      </w:r>
      <m:oMath>
        <m:r>
          <m:rPr>
            <m:sty m:val="p"/>
          </m:rPr>
          <m:t>D</m:t>
        </m:r>
        <m:r>
          <m:rPr>
            <m:sty m:val="p"/>
          </m:rPr>
          <m:t>A</m:t>
        </m:r>
        <m:r>
          <m:rPr>
            <m:sty m:val="p"/>
          </m:rPr>
          <m:t>I</m:t>
        </m:r>
        <m:r>
          <m:rPr>
            <m:sty m:val="p"/>
          </m:rPr>
          <m:t>×</m:t>
        </m:r>
        <m:r>
          <m:rPr>
            <m:sty m:val="p"/>
          </m:rPr>
          <m:t>F</m:t>
        </m:r>
        <m:r>
          <m:rPr>
            <m:sty m:val="p"/>
          </m:rPr>
          <m:t>S</m:t>
        </m:r>
        <m:r>
          <m:rPr>
            <m:sty m:val="p"/>
          </m:rPr>
          <m:t>T</m:t>
        </m:r>
        <m:r>
          <m:rPr>
            <m:sty m:val="p"/>
          </m:rPr>
          <m:t>S</m:t>
        </m:r>
      </m:oMath>
      <w:r>
        <w:t xml:space="preserve"> </w:t>
      </w:r>
      <w:r>
        <w:t xml:space="preserve">âm ở FSTS cao, Bậc 1 trở thành điểm nghẽn. Singapore (Bậc 1+2) sang</w:t>
      </w:r>
      <w:r>
        <w:t xml:space="preserve"> </w:t>
      </w:r>
      <w:r>
        <w:rPr>
          <w:bCs/>
          <w:b/>
        </w:rPr>
        <w:t xml:space="preserve">mở rộng có điều kiện</w:t>
      </w:r>
      <w:r>
        <w:t xml:space="preserve">: tương tác</w:t>
      </w:r>
      <w:r>
        <w:t xml:space="preserve"> </w:t>
      </w:r>
      <m:oMath>
        <m:r>
          <m:rPr>
            <m:sty m:val="p"/>
          </m:rPr>
          <m:t>D</m:t>
        </m:r>
        <m:r>
          <m:rPr>
            <m:sty m:val="p"/>
          </m:rPr>
          <m:t>A</m:t>
        </m:r>
        <m:r>
          <m:rPr>
            <m:sty m:val="p"/>
          </m:rPr>
          <m:t>I</m:t>
        </m:r>
        <m:r>
          <m:rPr>
            <m:sty m:val="p"/>
          </m:rPr>
          <m:t>×</m:t>
        </m:r>
        <m:sSup>
          <m:e>
            <m:r>
              <m:rPr>
                <m:sty m:val="p"/>
              </m:rPr>
              <m:t>F</m:t>
            </m:r>
            <m:r>
              <m:rPr>
                <m:sty m:val="p"/>
              </m:rPr>
              <m:t>S</m:t>
            </m:r>
            <m:r>
              <m:rPr>
                <m:sty m:val="p"/>
              </m:rPr>
              <m:t>T</m:t>
            </m:r>
            <m:r>
              <m:rPr>
                <m:sty m:val="p"/>
              </m:rPr>
              <m:t>S</m:t>
            </m:r>
          </m:e>
          <m:sup>
            <m:r>
              <m:t>2</m:t>
            </m:r>
          </m:sup>
        </m:sSup>
      </m:oMath>
      <w:r>
        <w:t xml:space="preserve"> </w:t>
      </w:r>
      <w:r>
        <w:t xml:space="preserve">dương mạnh (</w:t>
      </w:r>
      <m:oMath>
        <m:r>
          <m:t>β</m:t>
        </m:r>
        <m:r>
          <m:rPr>
            <m:sty m:val="p"/>
          </m:rPr>
          <m:t>=</m:t>
        </m:r>
        <m:r>
          <m:t>3</m:t>
        </m:r>
        <m:r>
          <m:rPr>
            <m:sty m:val="p"/>
          </m:rPr>
          <m:t>,</m:t>
        </m:r>
        <m:r>
          <m:t>119</m:t>
        </m:r>
      </m:oMath>
      <w:r>
        <w:t xml:space="preserve">,</w:t>
      </w:r>
      <w:r>
        <w:t xml:space="preserve"> </w:t>
      </w:r>
      <m:oMath>
        <m:r>
          <m:t>p</m:t>
        </m:r>
        <m:r>
          <m:rPr>
            <m:sty m:val="p"/>
          </m:rPr>
          <m:t>=</m:t>
        </m:r>
        <m:r>
          <m:t>0</m:t>
        </m:r>
        <m:r>
          <m:rPr>
            <m:sty m:val="p"/>
          </m:rPr>
          <m:t>,</m:t>
        </m:r>
        <m:r>
          <m:t>005</m:t>
        </m:r>
      </m:oMath>
      <w:r>
        <w:t xml:space="preserve">), Bậc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w:t>
      </w:r>
      <w:r>
        <w:t xml:space="preserve"> </w:t>
      </w:r>
      <m:oMath>
        <m:r>
          <m:t>β</m:t>
        </m:r>
        <m:r>
          <m:rPr>
            <m:sty m:val="p"/>
          </m:rPr>
          <m:t>=</m:t>
        </m:r>
        <m:r>
          <m:t>1</m:t>
        </m:r>
        <m:r>
          <m:rPr>
            <m:sty m:val="p"/>
          </m:rPr>
          <m:t>,</m:t>
        </m:r>
        <m:r>
          <m:t>639</m:t>
        </m:r>
      </m:oMath>
      <w:r>
        <w:t xml:space="preserve">,</w:t>
      </w:r>
      <w:r>
        <w:t xml:space="preserve"> </w:t>
      </w:r>
      <m:oMath>
        <m:r>
          <m:t>p</m:t>
        </m:r>
        <m:r>
          <m:rPr>
            <m:sty m:val="p"/>
          </m:rPr>
          <m:t>&lt;</m:t>
        </m:r>
        <m:r>
          <m:t>0</m:t>
        </m:r>
        <m:r>
          <m:rPr>
            <m:sty m:val="p"/>
          </m:rPr>
          <m:t>,</m:t>
        </m:r>
        <m:r>
          <m:t>001</m:t>
        </m:r>
      </m:oMath>
      <w:r>
        <w:t xml:space="preserve">,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JED,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aa05f2cc69387f8da77f0f5da9ec0329380f0a1"/>
    <w:p>
      <w:pPr>
        <w:pStyle w:val="Heading4"/>
      </w:pPr>
      <w:r>
        <w:t xml:space="preserve">2.3.4.3 Tái định hình Chỉ số áp dụng số: Bậc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Bậc 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(Bậc 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w:t>
            </w:r>
            <w:r>
              <w:t xml:space="preserve"> </w:t>
            </w:r>
            <m:oMath>
              <m:r>
                <m:rPr>
                  <m:sty m:val="p"/>
                </m:rPr>
                <m:t>≥</m:t>
              </m:r>
            </m:oMath>
            <w:r>
              <w:t xml:space="preserve"> </w:t>
            </w:r>
            <w:r>
              <w:t xml:space="preserve">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m:oMath>
              <m:r>
                <m:t>Δ</m:t>
              </m:r>
            </m:oMath>
            <w:r>
              <w:t xml:space="preserve"> </w:t>
            </w:r>
            <w:r>
              <w:t xml:space="preserve">Website</w:t>
            </w:r>
          </w:p>
        </w:tc>
        <w:tc>
          <w:tcPr/>
          <w:p>
            <w:pPr>
              <w:pStyle w:val="Compact"/>
              <w:jc w:val="right"/>
            </w:pPr>
            <m:oMath>
              <m:r>
                <m:t>Δ</m:t>
              </m:r>
            </m:oMath>
            <w:r>
              <w:t xml:space="preserve"> </w:t>
            </w:r>
            <w:r>
              <w:t xml:space="preserve">DN xuất khẩu</w:t>
            </w:r>
          </w:p>
        </w:tc>
        <w:tc>
          <w:tcPr/>
          <w:p>
            <w:pPr>
              <w:pStyle w:val="Compact"/>
              <w:jc w:val="right"/>
            </w:pPr>
            <m:oMath>
              <m:r>
                <m:t>Δ</m:t>
              </m:r>
            </m:oMath>
            <w:r>
              <w:t xml:space="preserve"> </w:t>
            </w:r>
            <w:r>
              <w:t xml:space="preserve">FDI</w:t>
            </w:r>
            <w:r>
              <w:t xml:space="preserve"> </w:t>
            </w:r>
            <m:oMath>
              <m:r>
                <m:rPr>
                  <m:sty m:val="p"/>
                </m:rPr>
                <m:t>≥</m:t>
              </m:r>
            </m:oMath>
            <w:r>
              <w:t xml:space="preserve"> </w:t>
            </w:r>
            <w:r>
              <w:t xml:space="preserve">10%</w:t>
            </w:r>
          </w:p>
        </w:tc>
        <w:tc>
          <w:tcPr/>
          <w:p>
            <w:pPr>
              <w:pStyle w:val="Compact"/>
              <w:jc w:val="right"/>
            </w:pPr>
            <m:oMath>
              <m:r>
                <m:t>Δ</m:t>
              </m:r>
            </m:oMath>
            <w:r>
              <w:t xml:space="preserve"> </w:t>
            </w:r>
            <w:r>
              <w:t xml:space="preserve">R&amp;D</w:t>
            </w:r>
          </w:p>
        </w:tc>
        <w:tc>
          <w:tcPr/>
          <w:p>
            <w:pPr>
              <w:pStyle w:val="Compact"/>
              <w:jc w:val="right"/>
            </w:pPr>
            <m:oMath>
              <m:r>
                <m:t>Δ</m:t>
              </m:r>
            </m:oMath>
            <w:r>
              <w:t xml:space="preserve"> </w:t>
            </w:r>
            <w:r>
              <w:t xml:space="preserve">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w:t>
            </w:r>
            <w:r>
              <w:t xml:space="preserve"> </w:t>
            </w:r>
            <m:oMath>
              <m:r>
                <m:rPr>
                  <m:sty m:val="p"/>
                </m:rPr>
                <m:t>≥</m:t>
              </m:r>
            </m:oMath>
            <w:r>
              <w:t xml:space="preserve"> </w:t>
            </w:r>
            <w:r>
              <w:t xml:space="preserve">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mục tiêu MIR):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Bậc 3–4, vượt xa lớp DAI Bậc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Bậc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Bậc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(Bậc 2 mature);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Bậc 1 bão hòa); Giai đoạn 3 = cơ chế phụ thuộc giai đoạn (DAI Bậc 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Bậc 1 Sự hiện diện số cơ bản</w:t>
      </w:r>
      <w:r>
        <w:t xml:space="preserve"> </w:t>
      </w:r>
      <w:r>
        <w:t xml:space="preserve">(tiệm cận bão hòa ở Advanced) và</w:t>
      </w:r>
      <w:r>
        <w:t xml:space="preserve"> </w:t>
      </w:r>
      <w:r>
        <w:rPr>
          <w:bCs/>
          <w:b/>
        </w:rPr>
        <w:t xml:space="preserve">Bậc 2 Chuyển đổi số cơ bản</w:t>
      </w:r>
      <w:r>
        <w:t xml:space="preserve"> </w:t>
      </w:r>
      <w:r>
        <w:t xml:space="preserve">(đang phát triển). Phần bù tương quan DAI thấp nhất ở Nhóm I (+0,093) là dấu hiệu bão hòa Bậc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đổi mới dẫn dắt so với tài nguyên dẫn dắt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Bậc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đổi mới dẫn dắt và tài nguyên dẫn dắt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Bậc 1 là yếu tố vệ sinh bão hòa. Tại Emerging, DAI Bậc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Bậc 1 trong bối cảnh Bậc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Bậc 2 số cho SME Việt Nam</w:t>
      </w:r>
      <w:r>
        <w:t xml:space="preserve">: Website 47% là điểm đầu vào; VietQR, TikTok Shop, Shopee Asia Pacific là Bậc 1.5/Bậc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(Bậc 1.5) so với nông thôn đồng bằng sông Cửu Long (Bậc 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(Bậc 3), không phù hợp để sao chép trực tiếp;</w:t>
      </w:r>
      <w:r>
        <w:t xml:space="preserve"> </w:t>
      </w:r>
      <w:r>
        <w:t xml:space="preserve">(b) Nhật Bản 60% doanh nghiệp AI back-office (Bậc 2),</w:t>
      </w:r>
      <w:r>
        <w:t xml:space="preserve"> </w:t>
      </w:r>
      <w:r>
        <w:rPr>
          <w:bCs/>
          <w:b/>
        </w:rPr>
        <w:t xml:space="preserve">mục tiêu thực tế 2026–2030</w:t>
      </w:r>
      <w:r>
        <w:t xml:space="preserve">;</w:t>
      </w:r>
      <w:r>
        <w:t xml:space="preserve"> </w:t>
      </w:r>
      <w:r>
        <w:t xml:space="preserve">(c) Trung Quốc sản xuất thông minh (Bậc 2/3), học điểm tích cực, tránh rủi ro tập trung;</w:t>
      </w:r>
      <w:r>
        <w:t xml:space="preserve"> </w:t>
      </w:r>
      <w:r>
        <w:t xml:space="preserve">(d)</w:t>
      </w:r>
      <w:r>
        <w:t xml:space="preserve"> </w:t>
      </w:r>
      <w:r>
        <w:rPr>
          <w:bCs/>
          <w:b/>
        </w:rPr>
        <w:t xml:space="preserve">Mô hình ưu tiên Việt Nam Bậc 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Economics and Development</w:t>
      </w:r>
      <w:r>
        <w:t xml:space="preserve"> </w:t>
      </w:r>
      <w:r>
        <w:t xml:space="preserve">(chưa nộp).</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(chưa nộp).</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Bậc 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Bậc 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Bậc 1 + Bậc 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Cần Thơ</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2026-06-26T06:18:01Z</dcterms:created>
  <dcterms:modified xsi:type="dcterms:W3CDTF">2026-06-26T06:18:01Z</dcterms:modified>
</cp:coreProperties>
</file>

<file path=docProps/custom.xml><?xml version="1.0" encoding="utf-8"?>
<Properties xmlns="http://schemas.openxmlformats.org/officeDocument/2006/custom-properties" xmlns:vt="http://schemas.openxmlformats.org/officeDocument/2006/docPropsVTypes"/>
</file>