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87.png" ContentType="image/png"/>
  <Override PartName="/word/media/rId154.png" ContentType="image/png"/>
  <Override PartName="/word/media/rId151.png" ContentType="image/png"/>
  <Override PartName="/word/media/rId171.png" ContentType="image/png"/>
  <Override PartName="/word/media/rId158.png" ContentType="image/png"/>
  <Override PartName="/word/media/rId162.png" ContentType="image/png"/>
  <Override PartName="/word/media/rId234.png" ContentType="image/png"/>
  <Override PartName="/word/media/rId174.png" ContentType="image/png"/>
  <Override PartName="/word/media/rId222.png" ContentType="image/png"/>
  <Override PartName="/word/media/rId1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pPr>
      <w:r>
        <w:t> </w:t>
      </w:r>
    </w:p>
    <w:p>
      <w:pPr>
        <w:jc w:val="center"/>
        <w:spacing w:after="120"/>
      </w:pPr>
      <w:r>
        <w:rPr>
          <w:b/>
          <w:sz w:val="28"/>
        </w:rPr>
        <w:t xml:space="preserve">ĐỖ THÙY HƯƠNG</w:t>
      </w:r>
    </w:p>
    <w:p>
      <w:pPr>
        <w:jc w:val="center"/>
      </w:pPr>
      <w:r>
        <w:t> </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pPr>
      <w:r>
        <w:t> </w:t>
      </w:r>
    </w:p>
    <w:p>
      <w:pPr>
        <w:jc w:val="center"/>
        <w:spacing w:after="120"/>
      </w:pPr>
      <w:r>
        <w:rPr>
          <w:b/>
          <w:sz w:val="28"/>
        </w:rPr>
        <w:t xml:space="preserve">CẦN THƠ, NĂM 2026</w:t>
      </w:r>
    </w:p>
    <w:p>
      <w:r>
        <w:br w:type="page"/>
      </w:r>
    </w:p>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PGS.TS. PHAN ANH TÚ</w:t>
      </w:r>
    </w:p>
    <w:p>
      <w:pPr>
        <w:jc w:val="center"/>
      </w:pPr>
      <w:r>
        <w:t> </w:t>
      </w:r>
    </w:p>
    <w:p>
      <w:pPr>
        <w:jc w:val="center"/>
        <w:spacing w:after="120"/>
      </w:pPr>
      <w:r>
        <w:rPr>
          <w:b/>
          <w:sz w:val="28"/>
        </w:rPr>
        <w:t xml:space="preserve">CẦN THƠ, NĂM 2026</w:t>
      </w:r>
    </w:p>
    <w:p>
      <w:r>
        <w:br w:type="page"/>
      </w:r>
    </w:p>
    <w:bookmarkStart w:id="20"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Luận án nghiên cứu mối quan hệ giữa quốc tế hóa và hiệu quả hoạt động kinh doanh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 Luận điểm trọng tâm mà luận án phát biểu và kiểm định là thể chế không chỉ điều tiết độ lớn mà quy định cả dấu và dạng hình của quan hệ I–P, và tại cực trị thể chế, toàn bộ họ mô hình chữ U ngược ngừng áp dụng.</w:t>
      </w:r>
    </w:p>
    <w:p>
      <w:pPr>
        <w:pStyle w:val="BodyText"/>
      </w:pPr>
      <w:r>
        <w:t xml:space="preserve">Luận án sử dụng thiết kế hỗn hợp tổng hợp–thực nghiệm (mixed synthesis-empirical): (i) một phân tích tổng hợp (meta-analysis) ba tầng giai đoạn 1977–2026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phát hiện vững trên mẫu đầy đủ bảy nền đảo nhỏ Thái Bình Dương (</w:t>
      </w:r>
      <m:oMath>
        <m:r>
          <m:t>N</m:t>
        </m:r>
        <m:r>
          <m:rPr>
            <m:sty m:val="p"/>
          </m:rPr>
          <m:t>=</m:t>
        </m:r>
        <m:r>
          <m:t>1.450</m:t>
        </m:r>
      </m:oMath>
      <w:r>
        <w:t xml:space="preserve">, bảy cụm) là sự</w:t>
      </w:r>
      <w:r>
        <w:t xml:space="preserve"> </w:t>
      </w:r>
      <w:r>
        <w:rPr>
          <w:bCs/>
          <w:b/>
        </w:rPr>
        <w:t xml:space="preserve">mất cấu trúc của dạng chữ U ngược</w:t>
      </w:r>
      <w:r>
        <w:t xml:space="preserve"> </w:t>
      </w:r>
      <w:r>
        <w:t xml:space="preserve">(độ dốc không có ý nghĩa và độ cong chỉ đạt mức biên), với quan hệ nghiêng về một dạng âm đơn điệu như trường hợp giới hạn lý thuyết được luận án đặt tên là</w:t>
      </w:r>
      <w:r>
        <w:t xml:space="preserve"> </w:t>
      </w:r>
      <w:r>
        <w:rPr>
          <w:bCs/>
          <w:b/>
        </w:rPr>
        <w:t xml:space="preserve">gánh nặng quốc tế hóa bắt buộc (Forced Internationalization Penalty, FIP)</w:t>
      </w:r>
      <w:r>
        <w:t xml:space="preserve"> </w:t>
      </w:r>
      <w:r>
        <w:t xml:space="preserve">(hệ số âm mạnh chỉ xuất hiện trên bản dựng dữ liệu hạn chế ba cụm, nhạy cảm với phiên bản dữ liệu, xem Mục 4.7.8). Luận án đóng góp khung tích hợp đa tầng, khung phân loại thể chế ICRV, và cấu trúc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hoạt động kinh doanh của doanh nghiệp; thể chế; năng lực số; nhà quản trị cấp cao; châu Á; WBES; phi tuyến chữ U ngược.</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 The dissertation’s central thesis, which it states and tests, is that institutions govern not merely the magnitude but the sign and shape of the I–P relationship, and that at the institutional extreme the entire inverted-U family ceases to apply.</w:t>
      </w:r>
    </w:p>
    <w:p>
      <w:pPr>
        <w:pStyle w:val="BodyText"/>
      </w:pPr>
      <w:r>
        <w:t xml:space="preserve">The study adopts a mixed synthesis-empirical design: (i) a three-level meta-analysis spanning 1977–2026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exploratory evidence suggests the relationship may turn monotonically negative with no turning point, a theoretical boundary condition the dissertation names the</w:t>
      </w:r>
      <w:r>
        <w:t xml:space="preserve"> </w:t>
      </w:r>
      <w:r>
        <w:rPr>
          <w:bCs/>
          <w:b/>
        </w:rPr>
        <w:t xml:space="preserve">Forced Internationalization Penalty (FIP)</w:t>
      </w:r>
      <w:r>
        <w:t xml:space="preserve"> </w:t>
      </w:r>
      <w:r>
        <w:t xml:space="preserve">(the empirical estimate is data-version-sensitive; see Section 4.7.8).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bookmarkEnd w:id="22"/>
    <w:bookmarkStart w:id="23"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3"/>
    <w:bookmarkStart w:id="24" w:name="danh-mục-bảng"/>
    <w:p>
      <w:pPr>
        <w:pStyle w:val="Heading2"/>
      </w:pPr>
      <w:r>
        <w:t xml:space="preserve">DANH MỤC BẢNG</w:t>
      </w:r>
    </w:p>
    <w:p>
      <w:pPr>
        <w:pStyle w:val="FirstParagraph"/>
      </w:pPr>
      <w:r>
        <w:rPr>
          <w:bCs/>
          <w:b/>
        </w:rPr>
        <w:t xml:space="preserve">Bảng đánh số:</w:t>
      </w:r>
      <w:r>
        <w:t xml:space="preserve"> </w:t>
      </w:r>
      <w:r>
        <w:t xml:space="preserve">- Bảng 2.1. Tổng hợp hệ giả thuyết: phát biểu, dấu kỳ vọng, cơ sở lý thuyết và biến kiểm định (Chương 2, Mục 2.5.8)</w:t>
      </w:r>
      <w:r>
        <w:t xml:space="preserve"> </w:t>
      </w:r>
      <w:r>
        <w:t xml:space="preserve">- Bảng 2.2. Ánh xạ nghiên cứu thành phần, mục trình bày, giả thuyết (Chương 2, Mục 2.5.9)</w:t>
      </w:r>
      <w:r>
        <w:t xml:space="preserve"> </w:t>
      </w:r>
      <w:r>
        <w:t xml:space="preserve">- Bảng 3.1. Tổng hợp biến nghiên cứu của khung thực nghiệm đa quốc gia (Chương 3, Mục 3.3.6)</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năm nền còn lại của Nhóm I (Chương 4, Mục 4.1.5)</w:t>
      </w:r>
      <w:r>
        <w:t xml:space="preserve"> </w:t>
      </w:r>
      <w:r>
        <w:t xml:space="preserve">- Bảng 4.4. Trung vị tỷ suất lợi nhuận trên doanh thu (ROS) theo nhóm ICRV (Chương 4, Mục 4.1.8)</w:t>
      </w:r>
      <w:r>
        <w:t xml:space="preserve"> </w:t>
      </w:r>
      <w:r>
        <w:t xml:space="preserve">- Bảng 4.5. Tiến triển hệ số theo chuỗi mô hình phân tầng, Singapore 2023 (Chương 4, Mục 4.3.8)</w:t>
      </w:r>
      <w:r>
        <w:t xml:space="preserve"> </w:t>
      </w:r>
      <w:r>
        <w:t xml:space="preserve">- Bảng 4.6. Tiến triển mô hình của P7 trên khung 50 nền: điểm uốn và kiểm định Lind–Mehlum (Chương 4, Mục 4.6.1)</w:t>
      </w:r>
      <w:r>
        <w:t xml:space="preserve"> </w:t>
      </w:r>
      <w:r>
        <w:t xml:space="preserve">- Bảng 4.7. Điểm uốn theo nhóm ICRV, khung 50 nền (Chương 4, Mục 4.6.2)</w:t>
      </w:r>
      <w:r>
        <w:t xml:space="preserve"> </w:t>
      </w:r>
      <w:r>
        <w:t xml:space="preserve">- Bảng 4.8. Điểm uốn theo đợt khảo sát, Ấn Độ (Chương 4, Mục 4.8.1)</w:t>
      </w:r>
      <w:r>
        <w:t xml:space="preserve"> </w:t>
      </w:r>
      <w:r>
        <w:t xml:space="preserve">- Bảng 4.9. Hiệu ứng cường độ xuất khẩu lên năng suất qua chuỗi mô hình, Nhật Bản 2025 (Chương 4, Mục 4.9.1)</w:t>
      </w:r>
      <w:r>
        <w:t xml:space="preserve"> </w:t>
      </w:r>
      <w:r>
        <w:t xml:space="preserve">- Bảng 4.10. Tổng hợp ước lượng các nghiên cứu thành phần thực nghiệm (Chương 4, Mục 4.11)</w:t>
      </w:r>
      <w:r>
        <w:t xml:space="preserve"> </w:t>
      </w:r>
      <w:r>
        <w:t xml:space="preserve">- Bảng 5.1. Sợi chỉ vàng tích hợp: câu hỏi nghiên cứu, nghiên cứu thành phần, giả thuyết, phát hiện thực nghiệm chủ chốt, đóng góp lý thuyết (Chương 5, Mục 5.1.8)</w:t>
      </w:r>
    </w:p>
    <w:p>
      <w:pPr>
        <w:pStyle w:val="BodyText"/>
      </w:pPr>
      <w:r>
        <w:rPr>
          <w:bCs/>
          <w:b/>
        </w:rPr>
        <w:t xml:space="preserve">Bảng phụ lục (không đánh số trong danh mục, theo mục):</w:t>
      </w:r>
      <w:r>
        <w:t xml:space="preserve"> </w:t>
      </w:r>
      <w:r>
        <w:t xml:space="preserve">- Bảng C.1. Kết quả hồi quy chính và điểm uốn của tám nghiên cứu thành phần (Phụ lục C, Mục C.1)</w:t>
      </w:r>
      <w:r>
        <w:t xml:space="preserve"> </w:t>
      </w:r>
      <w:r>
        <w:t xml:space="preserve">- Bảng C.2. Chi tiết phân tích tổng hợp ba tầng P6 (Phụ lục C, Mục C.2)</w:t>
      </w:r>
      <w:r>
        <w:t xml:space="preserve"> </w:t>
      </w:r>
      <w:r>
        <w:t xml:space="preserve">- Bảng C.3. Điểm uốn theo sáu nhóm ICRV trong kiểm định toàn mẫu P7 (Phụ lục C, Mục C.3)</w:t>
      </w:r>
      <w:r>
        <w:t xml:space="preserve"> </w:t>
      </w:r>
      <w:r>
        <w:t xml:space="preserve">- Bảng C.4. Tóm tắt kiểm định độ vững theo từng nghiên cứu thành phần (Phụ lục C, Mục C.4)</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4"/>
    <w:bookmarkStart w:id="25"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3.1. Quy trình nghiên cứu của luận án (Chương 3, Mục 3.1.2)</w:t>
      </w:r>
    </w:p>
    <w:p>
      <w:pPr>
        <w:numPr>
          <w:ilvl w:val="0"/>
          <w:numId w:val="1001"/>
        </w:numPr>
        <w:pStyle w:val="Compact"/>
      </w:pPr>
      <w:r>
        <w:t xml:space="preserve">Hình 4.1. Thành phần mẫu gộp theo nhóm ICRV (Chương 4, Mục 4.1)</w:t>
      </w:r>
    </w:p>
    <w:p>
      <w:pPr>
        <w:numPr>
          <w:ilvl w:val="0"/>
          <w:numId w:val="1001"/>
        </w:numPr>
        <w:pStyle w:val="Compact"/>
      </w:pPr>
      <w:r>
        <w:t xml:space="preserve">Hình 4.2. Quy mô mẫu gộp theo năm khảo sát (Chương 4, Mục 4.1)</w:t>
      </w:r>
    </w:p>
    <w:p>
      <w:pPr>
        <w:numPr>
          <w:ilvl w:val="0"/>
          <w:numId w:val="1001"/>
        </w:numPr>
        <w:pStyle w:val="Compact"/>
      </w:pPr>
      <w:r>
        <w:t xml:space="preserve">Hình 4.3. Quỹ đạo tăng trưởng theo nhóm ICRV (Chương 4, Mục 4.1)</w:t>
      </w:r>
    </w:p>
    <w:p>
      <w:pPr>
        <w:numPr>
          <w:ilvl w:val="0"/>
          <w:numId w:val="1001"/>
        </w:numPr>
        <w:pStyle w:val="Compact"/>
      </w:pPr>
      <w:r>
        <w:t xml:space="preserve">Hình 4.4. Phân bố quy mô doanh nghiệp theo nhóm ICRV (Chương 4, Mục 4.1)</w:t>
      </w:r>
    </w:p>
    <w:p>
      <w:pPr>
        <w:numPr>
          <w:ilvl w:val="0"/>
          <w:numId w:val="1001"/>
        </w:numPr>
        <w:pStyle w:val="Compact"/>
      </w:pPr>
      <w:r>
        <w:t xml:space="preserve">Hình 4.5. Phổ năng lực công nghệ theo sáu nhóm ICRV (Chương 4, Mục 4.1)</w:t>
      </w:r>
    </w:p>
    <w:p>
      <w:pPr>
        <w:numPr>
          <w:ilvl w:val="0"/>
          <w:numId w:val="1001"/>
        </w:numPr>
        <w:pStyle w:val="Compact"/>
      </w:pPr>
      <w:r>
        <w:t xml:space="preserve">Hình 4.6. Phân bố mật độ năng suất lao động theo nhóm ICRV (Chương 4, Mục 4.1)</w:t>
      </w:r>
    </w:p>
    <w:p>
      <w:pPr>
        <w:numPr>
          <w:ilvl w:val="0"/>
          <w:numId w:val="1001"/>
        </w:numPr>
        <w:pStyle w:val="Compact"/>
      </w:pPr>
      <w:r>
        <w:t xml:space="preserve">Hình 4.7. Biểu đồ radar năng lực và quốc tế hóa theo nhóm ICRV (Chương 4, Mục 4.1)</w:t>
      </w:r>
    </w:p>
    <w:p>
      <w:pPr>
        <w:numPr>
          <w:ilvl w:val="0"/>
          <w:numId w:val="1001"/>
        </w:numPr>
        <w:pStyle w:val="Compact"/>
      </w:pPr>
      <w:r>
        <w:t xml:space="preserve">Hình 4.8. Họ đường cong quốc tế hóa và hiệu quả phụ thuộc chế độ thể chế ICRV (Chương 4, Mục 4.6.2)</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Bậc 1–4</w:t>
            </w:r>
          </w:p>
        </w:tc>
        <w:tc>
          <w:tcPr/>
          <w:p>
            <w:pPr>
              <w:pStyle w:val="Compact"/>
              <w:jc w:val="left"/>
            </w:pPr>
            <w:r>
              <w:t xml:space="preserve">Digital adoption tiers 1–4</w:t>
            </w:r>
          </w:p>
        </w:tc>
        <w:tc>
          <w:tcPr/>
          <w:p>
            <w:pPr>
              <w:pStyle w:val="Compact"/>
              <w:jc w:val="left"/>
            </w:pPr>
            <w:r>
              <w:t xml:space="preserve">Bốn bậc chuyển đổi số dùng để phân tầng chỉ số chấp nhận số (DAI): Bậc 1 hiện diện số cơ bản (website), Bậc 2 giao dịch số (thanh toán điện tử), Bậc 3 tích hợp hệ thống, Bậc 4 năng lực số nâng cao; dữ liệu WBES chỉ đo được Bậc 1–2</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FGLS</w:t>
            </w:r>
          </w:p>
        </w:tc>
        <w:tc>
          <w:tcPr/>
          <w:p>
            <w:pPr>
              <w:pStyle w:val="Compact"/>
              <w:jc w:val="left"/>
            </w:pPr>
            <w:r>
              <w:t xml:space="preserve">Feasible Generalized Least Squares</w:t>
            </w:r>
          </w:p>
        </w:tc>
        <w:tc>
          <w:tcPr/>
          <w:p>
            <w:pPr>
              <w:pStyle w:val="Compact"/>
              <w:jc w:val="left"/>
            </w:pPr>
            <w:r>
              <w:t xml:space="preserve">Bình phương nhỏ nhất tổng quát khả thi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(cấu trúc lý thuyết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phân tích tổng hợp</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UPI</w:t>
            </w:r>
          </w:p>
        </w:tc>
        <w:tc>
          <w:tcPr/>
          <w:p>
            <w:pPr>
              <w:pStyle w:val="Compact"/>
              <w:jc w:val="left"/>
            </w:pPr>
            <w:r>
              <w:t xml:space="preserve">Unified Payments Interface</w:t>
            </w:r>
          </w:p>
        </w:tc>
        <w:tc>
          <w:tcPr/>
          <w:p>
            <w:pPr>
              <w:pStyle w:val="Compact"/>
              <w:jc w:val="left"/>
            </w:pPr>
            <w:r>
              <w:t xml:space="preserve">Hạ tầng thanh toán hợp nhất (Ấn Độ)</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6"/>
    <w:bookmarkStart w:id="27"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P1–P11) và một chương sách của nghiên cứu sinh. Các công trình được phân tách theo vai trò trong luận án: (i) công trình đã công bố là</w:t>
      </w:r>
      <w:r>
        <w:t xml:space="preserve"> </w:t>
      </w:r>
      <w:r>
        <w:rPr>
          <w:bCs/>
          <w:b/>
        </w:rPr>
        <w:t xml:space="preserve">kết quả của luận án</w:t>
      </w:r>
      <w:r>
        <w:t xml:space="preserve">; (ii) công trình đã công bố là</w:t>
      </w:r>
      <w:r>
        <w:t xml:space="preserve"> </w:t>
      </w:r>
      <w:r>
        <w:rPr>
          <w:bCs/>
          <w:b/>
        </w:rPr>
        <w:t xml:space="preserve">tiền đề được luận án mở rộng</w:t>
      </w:r>
      <w:r>
        <w:t xml:space="preserve">, chỉ trích dẫn (không tính là sản phẩm chính); (iii) bản thảo</w:t>
      </w:r>
      <w:r>
        <w:t xml:space="preserve"> </w:t>
      </w:r>
      <w:r>
        <w:rPr>
          <w:bCs/>
          <w:b/>
        </w:rPr>
        <w:t xml:space="preserve">kết quả của luận án</w:t>
      </w:r>
      <w:r>
        <w:t xml:space="preserve"> </w:t>
      </w:r>
      <w:r>
        <w:t xml:space="preserve">đang hoàn thiện; và (iv) sản phẩm phần mềm.</w:t>
      </w:r>
    </w:p>
    <w:p>
      <w:pPr>
        <w:pStyle w:val="BodyText"/>
      </w:pPr>
      <w:r>
        <w:rPr>
          <w:bCs/>
          <w:b/>
        </w:rPr>
        <w:t xml:space="preserve">A. Đã công bố — kết quả của luận án (đã bình duyệt)</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(Nghiên cứu thành phần P2: chữ U ngược ở doanh nghiệp sản xuất nhỏ và vừa Trung Quốc, điểm uốn 47,8%, cơ chế bẫy vốn lưu động; được trình bày trong luận án ở Mục 4.4.8. Bổ trợ cho P5 với câu hỏi và thước đo khác (P2: dạng hàm và cơ chế; P5: tính ổn định theo thời gian), điểm uốn trùng khớp là kiểm chứng chéo chứ không phải đếm trùng.)</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(Chương sách về Ấn Độ, 380 doanh nghiệp WBES, ước lượng FGLS, biến điều tiết thượng tầng quản trị (kinh nghiệm và giới tính nhà quản trị); là kết quả độc lập, khác hoàn toàn nghiên cứu thành phần P9 về biến phụ thuộc, dạng hàm, khung lý thuyết, biến điều tiết và mẫu, nên không bị P9 chứa hay thay thế.)</w:t>
      </w:r>
    </w:p>
    <w:p>
      <w:pPr>
        <w:pStyle w:val="FirstParagraph"/>
      </w:pPr>
      <w:r>
        <w:rPr>
          <w:bCs/>
          <w:b/>
        </w:rPr>
        <w:t xml:space="preserve">B. Đã công bố — công trình tiền đề được luận án mở rộng (chỉ trích dẫn)</w:t>
      </w:r>
    </w:p>
    <w:p>
      <w:pPr>
        <w:numPr>
          <w:ilvl w:val="0"/>
          <w:numId w:val="1003"/>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(Nghiên cứu thành phần P1, mẫu gộp 17 nền kinh tế; được luận án mở rộng thành mẫu gộp 50 nền kinh tế ở P7 trên cùng thiết kế (17 nền nằm trọn trong 50 nền), nên được trích dẫn như công trình tiền đề.)</w:t>
      </w:r>
    </w:p>
    <w:p>
      <w:pPr>
        <w:numPr>
          <w:ilvl w:val="0"/>
          <w:numId w:val="1003"/>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(Phân tích tổng hợp cơ sở, k = 113; được luận án mở rộng thành phân tích tổng hợp ba tầng k = 238 ở P6 trên cùng tập nghiên cứu (113 nghiên cứu nằm trọn trong 238), nên được trích dẫn như công trình tiền đề.)</w:t>
      </w:r>
    </w:p>
    <w:p>
      <w:pPr>
        <w:pStyle w:val="FirstParagraph"/>
      </w:pPr>
      <w:r>
        <w:rPr>
          <w:bCs/>
          <w:b/>
        </w:rPr>
        <w:t xml:space="preserve">C. Bản thảo đang hoàn thiện, chưa nộp — kết quả của luận án (CHƯA công bố)</w:t>
      </w:r>
    </w:p>
    <w:p>
      <w:pPr>
        <w:numPr>
          <w:ilvl w:val="0"/>
          <w:numId w:val="1004"/>
        </w:numPr>
        <w:pStyle w:val="Compact"/>
      </w:pPr>
      <w:r>
        <w:t xml:space="preserve">Nghiên cứu thành phần P3, Việt Nam (bối cảnh chuyển đổi thu nhập trung bình thấp).</w:t>
      </w:r>
      <w:r>
        <w:t xml:space="preserve"> </w:t>
      </w:r>
      <w:r>
        <w:rPr>
          <w:iCs/>
          <w:i/>
        </w:rPr>
        <w:t xml:space="preserve">[Bản thảo chưa nộp.]</w:t>
      </w:r>
    </w:p>
    <w:p>
      <w:pPr>
        <w:numPr>
          <w:ilvl w:val="0"/>
          <w:numId w:val="1004"/>
        </w:numPr>
        <w:pStyle w:val="Compact"/>
      </w:pPr>
      <w:r>
        <w:t xml:space="preserve">Nghiên cứu thành phần P4, Singapore (bối cảnh thể chế tiên tiến–đổi mới).</w:t>
      </w:r>
      <w:r>
        <w:t xml:space="preserve"> </w:t>
      </w:r>
      <w:r>
        <w:rPr>
          <w:iCs/>
          <w:i/>
        </w:rPr>
        <w:t xml:space="preserve">[Bản thảo chưa nộp.]</w:t>
      </w:r>
    </w:p>
    <w:p>
      <w:pPr>
        <w:numPr>
          <w:ilvl w:val="0"/>
          <w:numId w:val="1004"/>
        </w:numPr>
        <w:pStyle w:val="Compact"/>
      </w:pPr>
      <w:r>
        <w:t xml:space="preserve">Nghiên cứu thành phần P5, Trung Quốc 2012–2024 (bối cảnh trung bình cao).</w:t>
      </w:r>
      <w:r>
        <w:t xml:space="preserve"> </w:t>
      </w:r>
      <w:r>
        <w:rPr>
          <w:iCs/>
          <w:i/>
        </w:rPr>
        <w:t xml:space="preserve">[Bản thảo chưa nộp.]</w:t>
      </w:r>
    </w:p>
    <w:p>
      <w:pPr>
        <w:numPr>
          <w:ilvl w:val="0"/>
          <w:numId w:val="1004"/>
        </w:numPr>
        <w:pStyle w:val="Compact"/>
      </w:pPr>
      <w:r>
        <w:t xml:space="preserve">Nghiên cứu thành phần P6, phân tích tổng hợp ba tầng mở rộng 1977–2026.</w:t>
      </w:r>
      <w:r>
        <w:t xml:space="preserve"> </w:t>
      </w:r>
      <w:r>
        <w:rPr>
          <w:iCs/>
          <w:i/>
        </w:rPr>
        <w:t xml:space="preserve">[Bản thảo chưa nộp.]</w:t>
      </w:r>
    </w:p>
    <w:p>
      <w:pPr>
        <w:numPr>
          <w:ilvl w:val="0"/>
          <w:numId w:val="1004"/>
        </w:numPr>
        <w:pStyle w:val="Compact"/>
      </w:pPr>
      <w:r>
        <w:t xml:space="preserve">Nghiên cứu thành phần P7, Kiểm định toàn mẫu 50 nền kinh tế châu Á và Thái Bình Dương (nghiên cứu tổng hợp đỉnh).</w:t>
      </w:r>
      <w:r>
        <w:t xml:space="preserve"> </w:t>
      </w:r>
      <w:r>
        <w:rPr>
          <w:iCs/>
          <w:i/>
        </w:rPr>
        <w:t xml:space="preserve">[Bản thảo chưa nộp.]</w:t>
      </w:r>
    </w:p>
    <w:p>
      <w:pPr>
        <w:numPr>
          <w:ilvl w:val="0"/>
          <w:numId w:val="1004"/>
        </w:numPr>
        <w:pStyle w:val="Compact"/>
      </w:pPr>
      <w:r>
        <w:t xml:space="preserve">Nghiên cứu thành phần P8, Trường hợp biên SIDS, gánh nặng quốc tế hóa bắt buộc (FIP).</w:t>
      </w:r>
      <w:r>
        <w:t xml:space="preserve"> </w:t>
      </w:r>
      <w:r>
        <w:rPr>
          <w:iCs/>
          <w:i/>
        </w:rPr>
        <w:t xml:space="preserve">[Bản thảo chưa nộp.]</w:t>
      </w:r>
    </w:p>
    <w:p>
      <w:pPr>
        <w:numPr>
          <w:ilvl w:val="0"/>
          <w:numId w:val="1004"/>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chưa nộp.]</w:t>
      </w:r>
    </w:p>
    <w:p>
      <w:pPr>
        <w:numPr>
          <w:ilvl w:val="0"/>
          <w:numId w:val="1004"/>
        </w:numPr>
        <w:pStyle w:val="Compact"/>
      </w:pPr>
      <w:r>
        <w:t xml:space="preserve">Nghiên cứu thành phần P10, Nhật Bản: kiểm định biên trên của phổ thể chế trên đợt khảo sát WBES khai mở 2025.</w:t>
      </w:r>
      <w:r>
        <w:t xml:space="preserve"> </w:t>
      </w:r>
      <w:r>
        <w:rPr>
          <w:iCs/>
          <w:i/>
        </w:rPr>
        <w:t xml:space="preserve">[Bản thảo chuẩn bị gửi Asian Business &amp; Management.]</w:t>
      </w:r>
    </w:p>
    <w:p>
      <w:pPr>
        <w:numPr>
          <w:ilvl w:val="0"/>
          <w:numId w:val="1004"/>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bCs/>
          <w:b/>
        </w:rPr>
        <w:t xml:space="preserve">D. Sản phẩm phần mềm (đăng ký quyền tác giả)</w:t>
      </w:r>
    </w:p>
    <w:p>
      <w:pPr>
        <w:numPr>
          <w:ilvl w:val="0"/>
          <w:numId w:val="1005"/>
        </w:numPr>
        <w:pStyle w:val="Compact"/>
      </w:pPr>
      <w:r>
        <w:t xml:space="preserve">Đỗ Thùy Hương (2026).</w:t>
      </w:r>
      <w:r>
        <w:t xml:space="preserve"> </w:t>
      </w:r>
      <w:r>
        <w:rPr>
          <w:iCs/>
          <w:i/>
        </w:rPr>
        <w:t xml:space="preserve">M-AIDA — Meta-Analysis Intelligent Data Assistant (phiên bản 7.0)</w:t>
      </w:r>
      <w:r>
        <w:t xml:space="preserve"> </w:t>
      </w:r>
      <w:r>
        <w:t xml:space="preserve">[Phần mềm máy tính]. Trường Đại học Cần Thơ.</w:t>
      </w:r>
      <w:r>
        <w:t xml:space="preserve"> </w:t>
      </w:r>
      <w:r>
        <w:rPr>
          <w:iCs/>
          <w:i/>
        </w:rPr>
        <w:t xml:space="preserve">(Công cụ trích xuất dữ liệu cỡ ảnh hưởng hỗ trợ bằng mô hình ngôn ngữ lớn, với kiểm chứng toàn bộ của nghiên cứu sinh và cơ chế khóa dữ liệu bất biến; xây dựng phục vụ trực tiếp Nghiên cứu thành phần P6. Đã nộp hồ sơ đăng ký quyền tác giả; mô tả chi tiết ở Phụ lục B.)</w:t>
      </w:r>
    </w:p>
    <w:p>
      <w:pPr>
        <w:pStyle w:val="FirstParagraph"/>
      </w:pPr>
      <w:r>
        <w:rPr>
          <w:iCs/>
          <w:i/>
        </w:rPr>
        <w:t xml:space="preserve">Ghi chú về liêm chính học thuật: Theo định hướng luận án kết hợp công trình thành phần, các kết quả của luận án là các nghiên cứu thành phần P2–P10, gồm hai công trình đã công bố (P2 ở mục A và chương sách về Ấn Độ ở mục A) và các bản thảo ở mục C, cùng sản phẩm phái sinh P11 theo định hướng phát triển khai thác lại bằng chứng của luận án; trong các chương, chúng được dẫn chiếu bằng nhãn nội bộ (P2–P10) thay vì trích dẫn tác giả–năm. Tiêu chí phân nhóm A so với B: một công trình đã công bố chỉ xếp vào tiền đề (mục B) khi một nghiên cứu thành phần của luận án mở rộng nó trên cùng thiết kế và chứa trọn dữ liệu của nó, do đó nếu tính cả hai sẽ đếm trùng cùng một phần bằng chứng; ngược lại, công trình có thiết kế riêng (khác biến phụ thuộc, biến độc lập, biến điều tiết hoặc câu hỏi nghiên cứu) được tính là kết quả độc lập ở mục A dù có thể cùng quốc gia với một nghiên cứu thành phần. Theo tiêu chí này, chỉ hai công trình ở mục B là tiền đề bị chứa trọn: P1 (17 nền) → P7 (50 nền, 17 nền nằm trong 50 nền); và phân tích tổng hợp cơ sở ICBEF (k = 113) → P6 (k = 238, 113 nghiên cứu nằm trong 238). Chương sách về Ấn Độ và P9 khác nhau toàn diện (biến phụ thuộc, dạng hàm, khung lý thuyết, biến điều tiết và mẫu) nên không thuộc quan hệ chứa trọn này; tương tự, P2 và P5 dùng câu hỏi và thước đo khác nhau, điểm uốn gần nhau là kiểm chứng chéo. Các bản thảo ở mục C CHƯA được công bố/bình duyệt chính thức, không được diễn giải như bằng chứng đã qua bình duyệt độc lập; tên tạp chí mục tiêu được nêu để minh bạch định hướng công bố. NCS cập nhật trạng thái tại thời điểm bảo vệ.</w:t>
      </w:r>
    </w:p>
    <w:p>
      <w:r>
        <w:pict>
          <v:rect style="width:0;height:1.5pt" o:hralign="center" o:hrstd="t" o:hr="t"/>
        </w:pict>
      </w:r>
    </w:p>
    <w:p>
      <w:r>
        <w:br w:type="page"/>
      </w:r>
    </w:p>
    <w:bookmarkEnd w:id="27"/>
    <w:bookmarkStart w:id="28" w:name="chương-1-giới-thiệu"/>
    <w:p>
      <w:pPr>
        <w:pStyle w:val="Heading1"/>
      </w:pPr>
      <w:r>
        <w:t xml:space="preserve">CHƯƠNG 1: GIỚI THIỆU</w:t>
      </w:r>
    </w:p>
    <w:bookmarkEnd w:id="28"/>
    <w:p>
      <w:r>
        <w:pict>
          <v:rect style="width:0;height:1.5pt" o:hralign="center" o:hrstd="t" o:hr="t"/>
        </w:pict>
      </w:r>
    </w:p>
    <w:bookmarkStart w:id="31"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kinh doanh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hoạt động kinh doanh của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phổ thể chế đặc biệt phong phú để kiểm định. Luận án này tiếp cận phổ thể chế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29" w:name="X756fc8a07162cdb375f09945034083eda48ddb2"/>
    <w:p>
      <w:pPr>
        <w:pStyle w:val="Heading3"/>
      </w:pPr>
      <w:r>
        <w:t xml:space="preserve">1.1.1 Bối cảnh đương đại: thách thức việc làm, phổ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 thách thức việc làm và cơ cấu dân số.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hoạt động kinh doanh của doanh nghiệp trở thành một vấn đề phát triển cấp bách chứ không chỉ là tranh luận học thuật.</w:t>
      </w:r>
    </w:p>
    <w:p>
      <w:pPr>
        <w:pStyle w:val="BodyText"/>
      </w:pPr>
      <w:r>
        <w:t xml:space="preserve">Thứ hai là vai trò trung tâm của chất lượng thể chế trong phân hóa kết quả tăng trưởng.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 kỷ nguyên trí tuệ nhân tạo và biến động giá hàng hóa,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hoạt động kinh doanh của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29"/>
    <w:bookmarkStart w:id="30"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hoạt động kinh doanh của doanh nghiệp gắn trực tiếp với năng lực hấp thụ lực lượng lao động trẻ đang gia tăng nhanh trong khu vực.</w:t>
      </w:r>
    </w:p>
    <w:p>
      <w:pPr>
        <w:pStyle w:val="BodyText"/>
      </w:pPr>
      <w:r>
        <w:t xml:space="preserve">Phổ thể chế (institutional spectrum) là trục tổ chức xuyên suốt của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bổ sung một chiều phức tạp mới.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30"/>
    <w:bookmarkEnd w:id="31"/>
    <w:bookmarkStart w:id="32"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kinh doanh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quốc tế hóa và hiệu quả phụ thuộc sâu sắc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không phải là ba thiếu sót rời rạc mà là ba biểu hiện của cùng một hạn chế nền tảng: tài liệu hiện hành thiếu một cấu trúc giải thích đủ phân tầng để nắm bắt mức dị biệt cao của quan hệ quốc tế hóa và hiệu quả. Khoảng trống thứ nhất biểu hiện hạn chế đó ở tầng lý thuyết, bởi không một lý thuyết đơn lẻ nào, dù là mô hình Uppsala, lý thuyết dựa trên nguồn lực hay lý thuyết thể chế, cung cấp được một lý giải đầy đủ cho sự dị biệt đó;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 Khoảng trống thứ hai biểu hiện hạn chế đó ở tầng đo lường, vì khi hai cấu trúc số có chiều sâu tổ chức khác nhau bị gộp thành một chỉ số tổng hợp duy nhất, hai cơ chế tác động có thể trái chiều sẽ bị trung bình hóa, che khuất chính cơ chế mà nhà quản trị và nhà hoạch định chính sách cần phân biệt khi quyết định đầu tư vào chiều sâu năng lực hay vào công cụ giao diện. Khoảng trống thứ ba biểu hiện hạn chế đó ở tầng bằng chứng, bởi sự thiếu đại diện của các nền kinh tế chuyển đổi và các nền kinh tế đảo nhỏ đang phát triển làm suy yếu chính khả năng kiểm định điều kiện biên: đúng các địa điểm cực trị về thể chế, nơi điều kiện biên dễ bộc lộ nhất, lại là nơi tài liệu thiếu vắng bằng chứng nhất.</w:t>
      </w:r>
    </w:p>
    <w:p>
      <w:pPr>
        <w:pStyle w:val="BodyText"/>
      </w:pPr>
      <w:r>
        <w:t xml:space="preserve">Khi đặt cạnh nhau, ba tầng hạn chế này chỉ về một câu hỏi nền tảng hơn câu hỏi</w:t>
      </w:r>
      <w:r>
        <w:t xml:space="preserve"> </w:t>
      </w:r>
      <w:r>
        <w:t xml:space="preserve">“</w:t>
      </w:r>
      <w:r>
        <w:t xml:space="preserve">quốc tế hóa có cải thiện hiệu quả hay không</w:t>
      </w:r>
      <w:r>
        <w:t xml:space="preserve">”</w:t>
      </w:r>
      <w:r>
        <w:t xml:space="preserve">. Các nỗ lực tái lặp quy mô lớn với chiến lược nhận diện chặt chẽ cho thấy dạng hàm chữ U ngược suy yếu đáng kể, thậm chí biến mất, trong các mẫu gộp xuyên quốc gia (Berry &amp; Kaul, 2016; Pisani et al., 2020). Nếu cùng một mức độ quốc tế hóa tạo ra kết quả khác nhau không chỉ về độ lớn mà cả về dạng hàm và thậm chí về dấu tùy theo bối cảnh thể chế, thì bản thân dạng hàm của quan hệ quốc tế hóa và hiệu quả không phải là một hằng số phổ quát mà là một hàm của vị trí thể chế. Đây chính là luận điểm trọng tâm mà luận án phát biểu và kiểm định: thể chế không chỉ điều tiết độ lớn của hiệu ứng quốc tế hóa mà quy định cả dấu và dạng hình của nó, và tại cực trị thể chế, nơi các điều kiện cấu trúc tối thiểu đồng thời bị vi phạm, toàn bộ họ mô hình chữ U ngược ngừng áp dụng. Ba khoảng trống vì thế hội tụ thành một vấn đề nghiên cứu duy nhất: cần một cấu trúc giải thích vừa đủ phân tầng để định vị mỗi nền kinh tế trên phổ thể chế, vừa đủ sắc để dự đoán quan hệ quốc tế hóa và hiệu quả sẽ mang dạng hàm nào tại mỗi vị trí trên phổ đó.</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dị biệt cao trong quan hệ quốc tế hóa và hiệu quả.</w:t>
      </w:r>
    </w:p>
    <w:p>
      <w:r>
        <w:pict>
          <v:rect style="width:0;height:1.5pt" o:hralign="center" o:hrstd="t" o:hr="t"/>
        </w:pict>
      </w:r>
    </w:p>
    <w:bookmarkEnd w:id="32"/>
    <w:bookmarkStart w:id="33"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kinh doanh của doanh nghiệp tại các quốc gia châu Á, trong đó làm rõ vai trò điều tiết của thể chế, năng lực số và đặc điểm nhà quản trị, qua đó kiểm chứng luận điểm trọng tâm rằng thể chế quy định không chỉ độ lớn mà cả dấu và dạng hình của quan hệ đó trên toàn phổ thể chế của khu vực.</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1977–2026, xác định tác động tổng hợp, mức độ dị biệt và các nhân tố điều tiết (các biến điều tiết) chính giải thích dị biệt trong tài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chỉ số năng lực công nghệ,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3"/>
    <w:bookmarkStart w:id="34"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kinh doanh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kinh doanh của doanh nghiệp trong tài liệu 1977–2026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chỉ số năng lực công nghệ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34"/>
    <w:bookmarkStart w:id="39" w:name="đối-tượng-và-phạm-vi-nghiên-cứu"/>
    <w:p>
      <w:pPr>
        <w:pStyle w:val="Heading2"/>
      </w:pPr>
      <w:r>
        <w:t xml:space="preserve">1.5 Đối tượng và phạm vi nghiên cứu</w:t>
      </w:r>
    </w:p>
    <w:bookmarkStart w:id="35"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kinh doanh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5"/>
    <w:bookmarkStart w:id="36" w:name="phạm-vi-không-gian"/>
    <w:p>
      <w:pPr>
        <w:pStyle w:val="Heading3"/>
      </w:pPr>
      <w:r>
        <w:t xml:space="preserve">1.5.2 Phạm vi không gian</w:t>
      </w:r>
    </w:p>
    <w:p>
      <w:pPr>
        <w:pStyle w:val="FirstParagraph"/>
      </w:pPr>
      <w:r>
        <w:t xml:space="preserve">Phạm vi không gian chính của nghiên cứu bao gồm 50 nền kinh tế châu Á và Thái Bình Dương 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dựa trên tài nguyên,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36"/>
    <w:bookmarkStart w:id="37" w:name="phạm-vi-thời-gian"/>
    <w:p>
      <w:pPr>
        <w:pStyle w:val="Heading3"/>
      </w:pPr>
      <w:r>
        <w:t xml:space="preserve">1.5.3 Phạm vi thời gian</w:t>
      </w:r>
    </w:p>
    <w:p>
      <w:pPr>
        <w:pStyle w:val="FirstParagraph"/>
      </w:pPr>
      <w:r>
        <w:t xml:space="preserve">Phạm vi thời gian của nghiên cứu có hai mức. Đối với giai đoạn phân tích tổng hợp, luận án tổng hợp tài liệu trong giai đoạn 1977–2026, bao quát toàn bộ chương trình nghiên cứu về quan hệ quốc tế hóa và hiệu quả từ khi các nghiên cứu thực nghiệm đầu tiên xuất hiện đến thời điểm hoàn thành luận án. Đối với giai đoạn phân tích thực nghiệm đa quốc gia, luận án sử dụng dữ liệu WBES trong giai đoạn 2006–2026, bao gồm 88.869 doanh nghiệp với 103 cặp nền kinh tế-năm. Dữ liệu WBES từ ba thế hệ lược đồ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37"/>
    <w:bookmarkStart w:id="38"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8"/>
    <w:bookmarkEnd w:id="39"/>
    <w:bookmarkStart w:id="40"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chỉ đơn thuần là sử dụng hai phương pháp song song, mà tạo ra một đối thoại hai chiều: phân tích tổng hợp cung cấp tổng quan có hệ thống về trạng thái bằng chứng và xác định các biến điều tiết quan trọng trong tài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40"/>
    <w:bookmarkStart w:id="41"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kinh doanh của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Chỉ số năng lực công nghệ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chấp nhận số nền tảng,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phổ thể chế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dạng chữ U ngược mất cấu trúc (mất cả độ cong lẫn độ dốc có ý nghĩa), với quan hệ nghiêng về một dạng âm đơn điệu như trường hợp giới hạn lý thuyết, được gọi là gánh nặng quốc tế hóa bắt buộc (Forced Internationalization Penalty, FIP). Bên cạnh H1b (điều kiện biên không gian theo cấu trúc SIDS), luận án phát biểu thêm giả thuyết điều kiện biên thời gian H1c: tại nền kinh tế trải qua biến động thể chế tích lũy cực đoan qua các giai đoạn (điển hình là Ấn Độ trong nghiên cứu thành phần P9), cấu trúc chữ U ngược tan biến theo thời gian (điểm uốn dịch chuyển rồi mất ý nghĩa trong miền dữ liệu), phản ánh sự phá vỡ cấu trúc chứ không phải dịch chuyển tiệm tiến như H6 mô tả. Chi tiết toàn bộ hệ giả thuyết H1–H6, H1b và H1c được trình bày đầy đủ trong Chương 2 của luận án.</w:t>
      </w:r>
    </w:p>
    <w:p>
      <w:r>
        <w:pict>
          <v:rect style="width:0;height:1.5pt" o:hralign="center" o:hrstd="t" o:hr="t"/>
        </w:pict>
      </w:r>
    </w:p>
    <w:bookmarkEnd w:id="41"/>
    <w:bookmarkStart w:id="45" w:name="ý-nghĩa-khoa-học-và-thực-tiễn"/>
    <w:p>
      <w:pPr>
        <w:pStyle w:val="Heading2"/>
      </w:pPr>
      <w:r>
        <w:t xml:space="preserve">1.8 Ý nghĩa khoa học và thực tiễn</w:t>
      </w:r>
    </w:p>
    <w:bookmarkStart w:id="42" w:name="đóng-góp-lý-thuyết"/>
    <w:p>
      <w:pPr>
        <w:pStyle w:val="Heading3"/>
      </w:pPr>
      <w:r>
        <w:t xml:space="preserve">1.8.1 Đóng góp lý thuyết</w:t>
      </w:r>
    </w:p>
    <w:p>
      <w:pPr>
        <w:pStyle w:val="FirstParagraph"/>
      </w:pPr>
      <w:r>
        <w:t xml:space="preserve">Về mặt lý thuyết, đóng góp trọng tâm của luận án là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mệnh đề kiểm định được: thể chế không chỉ điều tiết độ lớn mà quy định cả dấu và dạng hình của quan hệ quốc tế hóa và hiệu quả, và tại cực trị thể chế, dạng hàm chữ U ngược ngừng áp dụng. Luận điểm trọng tâm này được nâng đỡ bởi bốn đóng góp lý thuyết thành phần. Đóng góp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chỉ là sự ghép nối cơ học các lý thuyết mà là một kiến trúc lý thuyết có tính nhất quán nội tại, trong đó mỗi tầng giải thích một loại dị biệt khác nhau trong quan hệ quốc tế hóa và hiệu quả. Đóng góp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tài liệu về số hóa và quốc tế hóa. Đóng góp thứ ba là tái định vị mô hình Uppsala trong bối cảnh kỷ nguyên AI bằng cách mở rộng cơ chế học hỏi để bao gồm</w:t>
      </w:r>
      <w:r>
        <w:t xml:space="preserve"> </w:t>
      </w:r>
      <w:r>
        <w:t xml:space="preserve">“</w:t>
      </w:r>
      <w:r>
        <w:t xml:space="preserve">học hỏi tăng cường bằng dữ liệu</w:t>
      </w:r>
      <w:r>
        <w:t xml:space="preserve">”</w:t>
      </w:r>
      <w:r>
        <w:t xml:space="preserve">, phù hợp với xu hướng quốc tế hóa được số hóa hỗ trợ (Banalieva &amp; Dhanaraj, 2019; Yang et al., 2025). Đóng góp thứ tư là đề xuất và đặt tên lý thuyết cho gánh nặng quốc tế hóa bắt buộc (Forced Internationalization Penalty, FIP), một cấu trúc lý thuyết mới chưa được định danh trong tài liệu kinh doanh quốc tế, như điều kiện biên cực đoan của mô hình chữ U ngược khi cả ba tầng của khung CDCM (thể chế, năng lực, quản trị) đồng thời ở mức tối thiểu. Bằng chứng thực nghiệm thăm dò từ các nền kinh tế đảo nhỏ Thái Bình Dương gợi ý quan hệ âm đơn điệu không có điểm uốn, với giới hạn dữ liệu được nêu rõ ở Mục 4.7.8, mở ra hướng nghiên cứu mới về điều kiện biên của lý thuyết quốc tế hóa.</w:t>
      </w:r>
    </w:p>
    <w:p>
      <w:pPr>
        <w:pStyle w:val="BodyText"/>
      </w:pPr>
      <w:r>
        <w:t xml:space="preserve">Bốn đóng góp lý thuyết thành phần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thay vì cạnh tranh loại trừ lẫn nhau. Tầng vĩ mô được vận hành hóa bằng khung biến thiên chế độ bối cảnh thể chế (Institutional Context Regime Variation, ICRV), công cụ phân loại sáu nhóm cho phép chuyển một phổ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Đỉnh của kiến trúc lý thuyết là việc định danh gánh nặng quốc tế hóa bắt buộc (Forced Internationalization Penalty, FIP) như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42"/>
    <w:bookmarkStart w:id="43"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tài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hiệu ứng điều tiết của thể chế trong tài liệu kinh doanh quốc tế.</w:t>
      </w:r>
    </w:p>
    <w:bookmarkEnd w:id="43"/>
    <w:bookmarkStart w:id="44"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phổ thể chế,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phổ thể chế.</w:t>
      </w:r>
    </w:p>
    <w:bookmarkEnd w:id="44"/>
    <w:bookmarkEnd w:id="45"/>
    <w:bookmarkStart w:id="46"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50 nền kinh tế, bao gồm cả 7 nền kinh tế đảo nhỏ Thái Bình Dương liền kề như trường hợp ranh giới cực đoan, theo hiểu biết của tác giả, chưa có nghiên cứu thực nghiệm nào về quan hệ quốc tế hóa và hiệu quả tại châu Á áp dụng một hệ thống phân loại thể chế đủ mịn như vậy. Điểm mới thứ tư là mẫu gộp dữ liệu thuộc loại lớn nhất mà tác giả ghi nhận được cho nghiên cứu đa quốc gia về quan hệ quốc tế hóa và hiệu quả tại châu Á, với 88.869 doanh nghiệp từ 50 nền kinh tế châu Á và Thái Bình Dương, mở rộng đáng kể từ mẫu gộp 17 nước (nghiên cứu thành phần P1) là nền tảng hiện có lớn nhất trước khi luận án hoàn thành. Điểm mới thứ năm là kiểm định ổn định theo thời gian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đề xuất và đặt tên cho khái niệm gánh nặng quốc tế hóa bắt buộc (Forced Internationalization Penalty, FIP) cho bối cảnh các nền kinh tế đảo nhỏ Thái Bình Dương, một cấu trúc mà theo hiểu biết của tác giả chưa được định danh trong tài liệu kinh doanh quốc tế: một điều kiện biên lý thuyết của mô hình chữ U ngược, trong đó quan hệ quốc tế hóa và hiệu quả có thể chuyển sang âm đơn điệu khi ba điều kiện cấu trúc bị vi phạm đồng thời. Đóng góp này chủ yếu mang tính khái niệm; bằng chứng thực nghiệm đi kèm (nghiên cứu thành phần P8) mang tính thăm dò và nhạy cảm với phiên bản dữ liệu cũng như số nền đảo nhỏ có dữ liệu doanh nghiệp đầy đủ (xem Mục 4.7.8),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tài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phổ thể chế của một khu vực, đồng thời xác định và định danh điểm mà tại đó dạng hàm chữ U ngược không còn ứng dụng được. Khác với các nghiên cứu trước thường dừng lại ở việc chứng minh thể chế điều tiết độ lớn của hiệu ứng, luận án chứng minh thể chế có thể điều tiết cả dấu của hiệu ứng, qua đó nâng luận điểm từ</w:t>
      </w:r>
      <w:r>
        <w:t xml:space="preserve"> </w:t>
      </w:r>
      <w:r>
        <w:t xml:space="preserve">“</w:t>
      </w:r>
      <w:r>
        <w:t xml:space="preserve">phụ thuộc bối cảnh</w:t>
      </w:r>
      <w:r>
        <w:t xml:space="preserve">”</w:t>
      </w:r>
      <w:r>
        <w:t xml:space="preserve"> </w:t>
      </w:r>
      <w:r>
        <w:t xml:space="preserve">lên</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độ thuần khiết cấu trúc và độ bao phủ thể chế chứ không phải trên một mẫu hẹp hoặc một đo lường gộp.</w:t>
      </w:r>
    </w:p>
    <w:bookmarkEnd w:id="46"/>
    <w:bookmarkStart w:id="47"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1977–2026, phân tích theo bối cảnh quốc gia cụ thể, và phân tích đa quốc gia tổng hợp trên mẫu gộp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Lộ trình tám nghiên cứu thành phần (P3–P10):</w:t>
      </w:r>
      <w:r>
        <w:t xml:space="preserve"> </w:t>
      </w:r>
      <w:r>
        <w:t xml:space="preserve">Luận án tích hợp tám nghiên cứu thành phần đang được hoàn thiện để gửi các tạp chí ISI/Scopus mục tiêu.</w:t>
      </w:r>
      <w:r>
        <w:t xml:space="preserve"> </w:t>
      </w:r>
      <w:r>
        <w:rPr>
          <w:bCs/>
          <w:b/>
        </w:rPr>
        <w:t xml:space="preserve">P3</w:t>
      </w:r>
      <w:r>
        <w:t xml:space="preserve"> </w:t>
      </w:r>
      <w:r>
        <w:t xml:space="preserve">(Việt Nam, mục tiêu JED): kiểm định chữ U ngược tại Nhóm IV ICRV, điểm uốn = 39,3–46,2% FSTS, TCI là yếu tố nâng mặt bằng có ý nghĩa.</w:t>
      </w:r>
      <w:r>
        <w:t xml:space="preserve"> </w:t>
      </w:r>
      <w:r>
        <w:rPr>
          <w:bCs/>
          <w:b/>
        </w:rPr>
        <w:t xml:space="preserve">P4</w:t>
      </w:r>
      <w:r>
        <w:t xml:space="preserve"> </w:t>
      </w:r>
      <w:r>
        <w:t xml:space="preserve">(Singapore, mục tiêu MIR): kiểm định tại Nhóm I ICRV, điểm uốn ≈ 88,6% (khoảng tin cậy rất rộng và vượt ngưỡng khả thi của FSTS, nên không định vị tin cậy, xem Mục 4.3), DAI Bậc 1 và 2 khuếch đại đường cong quốc tế hóa và hiệu quả.</w:t>
      </w:r>
      <w:r>
        <w:t xml:space="preserve"> </w:t>
      </w:r>
      <w:r>
        <w:rPr>
          <w:bCs/>
          <w:b/>
        </w:rPr>
        <w:t xml:space="preserve">P5</w:t>
      </w:r>
      <w:r>
        <w:t xml:space="preserve"> </w:t>
      </w:r>
      <w:r>
        <w:t xml:space="preserve">(Trung Quốc, mục tiêu IJOEM): kiểm định ổn định theo thời gian, điểm uốn ổn định qua 2012–2024 (≈ 48,78%, Paternoster z = 0,82, p = ,412).</w:t>
      </w:r>
      <w:r>
        <w:t xml:space="preserve"> </w:t>
      </w:r>
      <w:r>
        <w:rPr>
          <w:bCs/>
          <w:b/>
        </w:rPr>
        <w:t xml:space="preserve">P6</w:t>
      </w:r>
      <w:r>
        <w:t xml:space="preserve"> </w:t>
      </w:r>
      <w:r>
        <w:t xml:space="preserve">(meta-analysis ba tầng, mục tiêu JWB): k = 238 nghiên cứu, r̄ = 0,074, I² = 62,4%, phổ thể chế ICRV Q_M = 17,35 (df = 4, p = ,002).</w:t>
      </w:r>
      <w:r>
        <w:t xml:space="preserve"> </w:t>
      </w:r>
      <w:r>
        <w:rPr>
          <w:bCs/>
          <w:b/>
        </w:rPr>
        <w:t xml:space="preserve">P7</w:t>
      </w:r>
      <w:r>
        <w:t xml:space="preserve"> </w:t>
      </w:r>
      <w:r>
        <w:t xml:space="preserve">(50 nền kinh tế, mục tiêu IBR):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mục tiêu World Development):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gợi ý H1b ở các nền kinh tế đảo nhỏ Thái Bình Dương; bằng chứng mang tính thăm dò, đọc cùng giới hạn dữ liệu ở Mục 4.7.8.</w:t>
      </w:r>
      <w:r>
        <w:t xml:space="preserve"> </w:t>
      </w:r>
      <w:r>
        <w:rPr>
          <w:bCs/>
          <w:b/>
        </w:rPr>
        <w:t xml:space="preserve">P9</w:t>
      </w:r>
      <w:r>
        <w:t xml:space="preserve"> </w:t>
      </w:r>
      <w:r>
        <w:t xml:space="preserve">(Ấn Độ, mục tiêu MIR/IJOEM): độ bền ngưỡng quốc tế hóa và hiệu quả qua ba đợt WBES 2014–2025 (~29.000 doanh nghiệp), phát hiện tan biến 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Bậc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phổ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tăng trưởng doanh thu trong các kiểm định độ vững; TCI là chỉ số năng lực công nghệ; DAI là chỉ số chấp nhận số (digital adoption index), được hiểu như biến đại diện chấp nhận số nền tảng; ICRV là khung phân loại thể chế 6 nhóm được phát triển cho luận án này; WBES là World Bank Enterprise Surveys.</w:t>
      </w:r>
    </w:p>
    <w:p>
      <w:r>
        <w:br w:type="page"/>
      </w:r>
    </w:p>
    <w:bookmarkEnd w:id="47"/>
    <w:bookmarkStart w:id="84"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kinh doanh của doanh nghiệp, xác định những khoảng trống còn tồn tại trong tài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2" w:name="các-khái-niệm-cốt-lõi"/>
    <w:p>
      <w:pPr>
        <w:pStyle w:val="Heading2"/>
      </w:pPr>
      <w:r>
        <w:t xml:space="preserve">2.1 Các khái niệm cốt lõi</w:t>
      </w:r>
    </w:p>
    <w:bookmarkStart w:id="48"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tài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quốc tế hóa và hiệu quả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p>
      <w:pPr>
        <w:pStyle w:val="BodyText"/>
      </w:pPr>
      <w:r>
        <w:t xml:space="preserve">Việc lựa chọn cường độ xuất khẩu làm thước đo trung tâm còn được củng cố bởi một truyền thống nghiên cứu kinh tế học thương mại quốc tế song hành với truyền thống kinh doanh quốc tế. Melitz (2003) chứng minh trên cơ sở lý thuyết rằng việc mở cửa thương mại tạo ra sự tái phân bổ nguồn lực trong nội bộ ngành, theo đó chỉ những doanh nghiệp có năng suất đủ cao mới vượt qua được chi phí cố định của xuất khẩu và tự lựa chọn tham gia thị trường quốc tế. Helpman và cộng sự (2004) mở rộng logic này bằng cách phân biệt giữa lựa chọn xuất khẩu và lựa chọn đầu tư trực tiếp, cho thấy rằng những doanh nghiệp năng suất cao nhất có xu hướng phục vụ thị trường nước ngoài thông qua hiện diện sản xuất thay vì xuất khẩu thuần túy. Hai luận điểm này có hàm ý đo lường trực tiếp đối với luận án: cường độ xuất khẩu không phải là một biến ngoại sinh thuần túy mà gắn liền với năng suất nội tại của doanh nghiệp, do đó quan hệ giữa quốc tế hóa và hiệu quả có thể vừa phản ánh cơ chế nhân quả vừa phản ánh cơ chế tự lựa chọn. Tổng quan thực nghiệm cấp doanh nghiệp của Wagner (2007) xác nhận rằng bằng chứng về việc doanh nghiệp năng suất cao tự lựa chọn xuất khẩu (self-selection) vững chắc hơn nhiều so với bằng chứng về việc xuất khẩu trực tiếp nâng cao năng suất (learning-by-exporting), một sự bất đối xứng có hệ quả phương pháp luận quan trọng được luận án xử lý tường minh trong chiến lược nhận diện ở Chương 3. Nhận thức về tính nội sinh tiềm tàng này không làm suy yếu giá trị của thước đo cường độ xuất khẩu, mà ngược lại đòi hỏi lý thuyết hóa cẩn trọng về cơ chế đứng sau quan hệ quan sát được, một yêu cầu mà khung tích hợp đa tầng của luận án đáp ứng bằng cách phân tách các tầng cơ chế thay vì gộp chúng vào một hệ số tổng hợp duy nhất.</w:t>
      </w:r>
    </w:p>
    <w:bookmarkEnd w:id="48"/>
    <w:bookmarkStart w:id="49" w:name="Xa0fa67ecba3df3aa7d32b04abc8423a171fc828"/>
    <w:p>
      <w:pPr>
        <w:pStyle w:val="Heading3"/>
      </w:pPr>
      <w:r>
        <w:t xml:space="preserve">2.1.2 Hiệu quả hoạt động kinh doanh của doanh nghiệp</w:t>
      </w:r>
    </w:p>
    <w:p>
      <w:pPr>
        <w:pStyle w:val="FirstParagraph"/>
      </w:pPr>
      <w:r>
        <w:t xml:space="preserve">Hiệu quả hoạt động kinh doanh của doanh nghiệp (firm performance) là một khái niệm đa chiều không có một định nghĩa hoặc thước đo thống nhất trong tài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49"/>
    <w:bookmarkStart w:id="50"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lý thuyết dựa trên nguồn lực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quốc tế hóa và hiệu quả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0"/>
    <w:bookmarkStart w:id="51"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(tiên tiến đổi mới, gồm Singapore, Hong Kong SAR, Hàn Quốc, Đài Loan, Israel và Nhật Bản), Nhóm II (tiên tiến tài nguyên, bao gồm các nền kinh tế vùng Vịnh), Nhóm III (trung bình cao, điển hình là Trung Quốc), Nhóm IV (chuyển đổi thu nhập trung bình thấp, bao gồm Việt Nam và Ấn Độ), Nhóm V (đang nổi), và Nhóm VI (SIDS, Small Island Developing States). Khung này mở rộng từ phân loại thể chế của Khanna và Palepu (2010) và được điều chỉnh để phản ánh thực tiễn đa dạng của châu Á và khu vực lân cận. Về cách tổng hợp, ICRV là một biến phân loại thứ bậc (ordinal taxonomy) chứ không phải một chỉ số hợp thành liên tục có trọng số: mỗi nền kinh tế được gán vào đúng một trong sáu chế độ theo các ngưỡng định tính kết hợp chất lượng thể chế (WGI), mức thu nhập và đặc trưng cấu trúc, trong đó chất lượng thể chế là tiêu chí trội và hai tiêu chí còn lại dùng để phân giải các trường hợp giáp ranh. Cách vận hành hóa bằng phân loại thay vì chỉ số liên tục được lựa chọn có chủ đích vì mục tiêu của ICRV là kiểm định liệu dạng hàm của quan hệ quốc tế hóa và hiệu quả có thay đổi theo chế độ thể chế hay không, một câu hỏi đòi hỏi các nhóm rời rạc, có thể so sánh chứ không phải một thang đo đơn chiều.</w:t>
      </w:r>
    </w:p>
    <w:p>
      <w:pPr>
        <w:pStyle w:val="BodyText"/>
      </w:pPr>
      <w:r>
        <w:t xml:space="preserve">ICRV không chỉ là một biến phân loại mà còn là một phổ thể chế liên tục, từ môi trường thể chế mạnh, ít rủi ro (Nhóm I) đến môi trường thể chế yếu, nhiều rủi ro và khoảng trống thể chế (Nhóm V và VI). Phổ này tạo ra điều kiện biên quan trọng để kiểm định khả năng tổng quát hóa của mối quan hệ quốc tế hóa và hiệu quả, đặc biệt liên quan đến giả thuyết phi tuyến.</w:t>
      </w:r>
    </w:p>
    <w:p>
      <w:r>
        <w:pict>
          <v:rect style="width:0;height:1.5pt" o:hralign="center" o:hrstd="t" o:hr="t"/>
        </w:pict>
      </w:r>
    </w:p>
    <w:bookmarkEnd w:id="51"/>
    <w:bookmarkEnd w:id="52"/>
    <w:bookmarkStart w:id="60" w:name="các-lý-thuyết-nền"/>
    <w:p>
      <w:pPr>
        <w:pStyle w:val="Heading2"/>
      </w:pPr>
      <w:r>
        <w:t xml:space="preserve">2.2 Các lý thuyết nền</w:t>
      </w:r>
    </w:p>
    <w:bookmarkStart w:id="53"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Tổng quan hệ thống của Wach (2021) về quá trình tiến hóa của mô hình Uppsala qua bảy phiên bản từ năm 1977 đến 2017 củng cố cách đọc này: dù các mô hình theo giai đoạn thường bị phê phán, chuỗi điều chỉnh kế tiếp của chính các tác giả gốc cho thấy tính bền vững và khả năng thích ứng của truyền thống Uppsala, qua đó biện minh cho quyết định của luận án giữ mô hình như một lớp nền giải thích thay vì bác bỏ nó. Đối với các doanh nghiệp ở những nền kinh tế chuyển đổi và mới nổi tại châu Á, cơ chế học hỏi trải nghiệm có hàm ý trực tiếp với hình dạng phi tuyến của quan hệ quốc tế hóa và hiệu quả: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53"/>
    <w:bookmarkStart w:id="54"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Lý thuyết dựa trên nguồn lực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lý thuyết dựa trên nguồn lực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lý thuyết dựa trên nguồn lực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(biến đại diện Bậc 1) đo lường sự hiện diện website, phản ánh mức độ chấp nhận kỹ thuật số cơ bản chứ không phải năng lực động theo nghĩa Teece et al. (1997). Lý thuyết dựa trên nguồn lực cung cấp nền lý thuyết trực tiếp cho giả thuyết H2 về vai trò điều tiết của TCI, trong khi H3 về DAI được neo đậu trong Khung chấp nhận số nền tảng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lý thuyết dựa trên nguồn lực (Barney, 1991). Phân tầng này giải thích vì sao luận án dự báo hai cấu trúc số vận hành qua hai cơ chế khác nhau trong quan hệ quốc tế hóa và hiệu quả, thay vì giả định một hiệu ứng đồng nhất.</w:t>
      </w:r>
    </w:p>
    <w:p>
      <w:pPr>
        <w:pStyle w:val="BodyText"/>
      </w:pPr>
      <w:r>
        <w:t xml:space="preserve">Một bổ sung lý thuyết cần thiết cho lý thuyết dựa trên nguồn lực trong bối cảnh quốc tế hóa là sự phân biệt giữa tạo ra giá trị và chiếm giữ giá trị. Teece (1986), trong lập luận kinh điển về việc thu lợi từ đổi mới công nghệ, chỉ ra rằng việc sở hữu một năng lực có giá trị chưa đủ để bảo đảm doanh nghiệp chiếm giữ được phần lợi ích kinh tế từ năng lực đó; khả năng chiếm giữ giá trị còn phụ thuộc vào chế độ bảo hộ quyền sở hữu (appropriability regime) và quyền kiểm soát các tài sản bổ trợ chuyên biệt. Trong bối cảnh quốc tế hóa ở các nền kinh tế đang phát triển, nơi chế độ bảo hộ thường yếu và các tài sản bổ trợ như kênh phân phối hay tài chính thương mại còn khan hiếm, lập luận của Teece (1986) hàm ý rằng cùng một năng lực công nghệ có thể chuyển hóa thành hiệu quả ở mức độ rất khác nhau tùy theo môi trường thể chế. Luận điểm này tạo cầu nối lý thuyết trực tiếp giữa lý thuyết dựa trên nguồn lực và lý thuyết thể chế, đồng thời báo trước cơ chế thay thế giữa thể chế và năng lực được phát biểu trong giả thuyết H5: nơi thể chế yếu, biên đóng góp của năng lực doanh nghiệp lớn hơn vì nó bù đắp cho khoảng trống thể chế trong việc bảo đảm chiếm giữ giá trị. Bằng chứng cấp doanh nghiệp gần đây của Purkayastha và cộng sự (2024) củng cố hướng lập luận này khi cho thấy rằng năng lực quản lý đầu tư nguồn lực và năng lực triển khai nguồn lực chiến lược điều tiết đáng kể cách quốc tế hóa chuyển hóa thành hiệu quả, nghĩa là hiệu quả của quốc tế hóa phụ thuộc không chỉ vào việc doanh nghiệp sở hữu nguồn lực gì mà còn vào việc doanh nghiệp triển khai và tái phân bổ nguồn lực đó hiệu quả đến đâu, đúng theo tinh thần năng lực động của Teece và cộng sự (1997).</w:t>
      </w:r>
    </w:p>
    <w:bookmarkEnd w:id="54"/>
    <w:bookmarkStart w:id="55"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tài liệu về quốc tế hóa và hiệu quả, bằng chứng phân tích tổng hợp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quốc tế hóa và hiệu quả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phổ thể chế đa chiều, neo đậu trong lý thuyết thể chế đương đại.</w:t>
      </w:r>
    </w:p>
    <w:bookmarkEnd w:id="55"/>
    <w:bookmarkStart w:id="56" w:name="Xe62c737a651307dd31395fe582cc7bd16896a2c"/>
    <w:p>
      <w:pPr>
        <w:pStyle w:val="Heading3"/>
      </w:pPr>
      <w:r>
        <w:t xml:space="preserve">2.2.3.1 Lý thuyết bàn đạp: quốc tế hóa của doanh nghiệp nền kinh tế mới nổi</w:t>
      </w:r>
    </w:p>
    <w:p>
      <w:pPr>
        <w:pStyle w:val="FirstParagraph"/>
      </w:pPr>
      <w:r>
        <w:t xml:space="preserve">Lý thuyết bàn đạp (springboard theory) do Luo và Tung (2007) đề xuất bổ sung một góc nhìn đặc thù cho quốc tế hóa của doanh nghiệp từ các nền kinh tế mới nổi mà các lý thuyết có gốc ở nước phát triển chưa nắm bắt đầy đủ. Theo lý thuyết này, doanh nghiệp mới nổi sử dụng mở rộng quốc tế như một bàn đạp chiến lược để nhanh chóng thu nhận các nguồn lực chiến lược còn thiếu, gồm công nghệ, thương hiệu, tri thức quản trị và tiếp cận thị trường, qua đó bù đắp bất lợi của người đến sau và rút ngắn khoảng cách năng lực với các doanh nghiệp dẫn đầu, tức nhảy cóc về năng lực. Khác với logic khai thác lợi thế sẵn có trong các lý thuyết quốc tế hóa cổ điển, lý thuyết bàn đạp nhấn mạnh động cơ tìm kiếm tài sản: doanh nghiệp quốc tế hóa không chỉ để bán cái đã có mà còn để học hỏi và thâu nhận cái chưa có.</w:t>
      </w:r>
    </w:p>
    <w:p>
      <w:pPr>
        <w:pStyle w:val="BodyText"/>
      </w:pPr>
      <w:r>
        <w:t xml:space="preserve">Lý thuyết bàn đạp đặc biệt phù hợp với bối cảnh của luận án, vốn tập trung vào các nền kinh tế mới nổi và chuyển đổi ở châu Á như Trung Quốc, Việt Nam và Ấn Độ, nơi doanh nghiệp đối mặt đồng thời với bất lợi của người đến sau và khoảng trống thể chế quê nhà. Nó bổ sung cho khung của luận án theo hai hướng. Thứ nhất, nó soi sáng lại nhánh đi lên của quan hệ chữ U ngược: ở giai đoạn đầu, hiệu quả chưa cao không chỉ vì chi phí học hỏi theo mô hình Uppsala mà còn vì doanh nghiệp đang chủ động đầu tư để xây dựng và thâu nhận năng lực, một quá trình mà phần thưởng chỉ hiện thực hóa khi tài sản chiến lược được tích lũy và khai thác. Thứ hai, nó kết nối trực tiếp với trục thể chế: lý thuyết bàn đạp lập luận rằng chính khoảng trống và bất lợi thể chế quê nhà thúc đẩy doanh nghiệp mới nổi vươn ra ngoài để bù đắp, cộng hưởng với lập luận điều tiết thể chế ICRV và với quan sát của Cuervo-Cazurra et al. (2018) rằng bất định thể chế quê nhà có thể bồi đắp năng lực quản lý bất định đặc thù.</w:t>
      </w:r>
    </w:p>
    <w:p>
      <w:pPr>
        <w:pStyle w:val="BodyText"/>
      </w:pPr>
      <w:r>
        <w:t xml:space="preserve">Cần phân định rõ phạm vi áp dụng để tránh suy luận quá đà. Lý thuyết bàn đạp được phát triển chủ yếu cho đầu tư trực tiếp ra nước ngoài mang tính thâu tóm tài sản, trong khi luận án vận hành hóa quốc tế hóa bằng cường độ xuất khẩu (FSTS), tức chiều bán hàng ra nước ngoài chứ không phải chiều đầu tư. Do đó luận án sử dụng lý thuyết bàn đạp như một lăng kính động cơ bổ trợ giải thích vì sao doanh nghiệp mới nổi theo đuổi quốc tế hóa bất chấp chi phí giai đoạn đầu, chứ không khẳng định rằng cường độ xuất khẩu đo lường trực tiếp hành vi bàn đạp. Ở chiều xuất khẩu, một cơ chế tương đồng vận hành qua học hỏi nhờ xuất khẩu và tích lũy năng lực từ tiếp xúc thị trường quốc tế, một con đường thu nhận tri thức song song với con đường thâu tóm tài sản mà lý thuyết bàn đạp mô tả.</w:t>
      </w:r>
    </w:p>
    <w:bookmarkEnd w:id="56"/>
    <w:bookmarkStart w:id="57"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Theo đó,</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lý thuyết thượng tầng quản trị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hoạt động kinh doanh của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p>
      <w:pPr>
        <w:pStyle w:val="BodyText"/>
      </w:pPr>
      <w:r>
        <w:t xml:space="preserve">Một bước tiến lý thuyết gần đây làm sâu sắc thêm nền tảng vi mô của giả thuyết H4. Grego và cộng sự (2025), qua tổng quan hệ thống hơn hai thập kỷ nghiên cứu cấp cá nhân trong kinh doanh quốc tế, chỉ ra rằng các lý thuyết truyền thống, gồm cả lý thuyết nội hóa và mô hình Uppsala, đều giả định nhà quản trị là tác nhân duy lý có giới hạn, ra quyết định quốc tế hóa chủ yếu bằng tính toán lợi ích chi phí lạnh lùng, do đó bỏ qua vai trò của nhận thức cảm tính. Các tác giả đề xuất một mô hình quyết định quốc tế hóa được kiến tạo bởi cảm xúc, theo đó nhận thức cảm tính và nhận thức phi cảm tính cùng định hình tri thức, kinh nghiệm, thái độ và đánh giá rủi ro của nhà quản trị. Luận điểm này có hai hàm ý cho luận án. Thứ nhất, nó củng cố cách đọc rằng tác động của đặc điểm nhà quản trị lên quan hệ quốc tế hóa và hiệu quả là không đồng nhất và không quy giản về một cơ chế duy lý đơn giản, nhất quán với phát hiện thực nghiệm của luận án rằng hệ số của biến quản trị nữ phụ thuộc thước đo và bối cảnh. Thứ hai, nó cảnh báo rằng các thước đo đặc điểm nhà quản trị quan sát được ở dữ liệu doanh nghiệp, như kinh nghiệm và giới tính, chỉ là chỉ báo bề mặt của một quá trình nhận thức phức tạp hơn, nên các hệ số ước lượng cần được diễn giải thận trọng thay vì gán nhân quả trực tiếp, đúng theo lập trường mà luận án giữ trong Chương 4 và Chương 5. Bằng chứng của Pan, Verbeke và Yuan (2021) về lãnh đạo doanh nghiệp tại Trung Quốc minh họa cùng nguyên tắc ở một góc khác: tác động của lãnh đạo chuyển hóa lên tinh thần khởi nghiệp doanh nghiệp không có ý nghĩa thống kê khi bỏ qua các điều kiện biên, nhưng trở nên có ý nghĩa khi đưa vào các biến điều tiết về đội ngũ quản trị, môi trường và thiết kế tổ chức, một mô thức song hành với luận điểm trung tâm của luận án rằng hiệu ứng chỉ bộc lộ đúng khi được điều kiện hóa theo bối cảnh.</w:t>
      </w:r>
    </w:p>
    <w:bookmarkEnd w:id="57"/>
    <w:bookmarkStart w:id="58" w:name="lớp-mở-rộng-lăng-kính-năng-lực-số"/>
    <w:p>
      <w:pPr>
        <w:pStyle w:val="Heading3"/>
      </w:pPr>
      <w:r>
        <w:t xml:space="preserve">2.2.5 Lớp mở rộng: Lăng kính năng lực số</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 Đặc biệt liên quan đến luận án, Drori và cộng sự (2024), cũng từ lăng kính lý thuyết nội hóa, kiểm định trực tiếp trên mẫu 2.370 doanh nghiệp Mỹ trong giai đoạn 18 năm và phát hiện rằng số hóa làm giảm khiếm khuyết thị trường nhưng mức độ giảm thay đổi theo cường độ số hóa của ngành, đồng thời các hiệu ứng tương tác này biến đổi theo thời gian khi đổi mới số lan tỏa rộng hơn. Phát hiện này cung cấp bằng chứng thực nghiệm gần đây và trực tiếp cho hai luận điểm cốt lõi của luận án: vai trò của năng lực số đối với quốc tế hóa là phụ thuộc bối cảnh (ở đây là cường độ số hóa của ngành, song hành với lập luận về phụ thuộc thể chế của luận án) và phụ thuộc thời gian, chứ không phải một hiệu ứng đồng nhất và bất biến.</w:t>
      </w:r>
    </w:p>
    <w:p>
      <w:pPr>
        <w:pStyle w:val="BodyText"/>
      </w:pPr>
      <w:r>
        <w:t xml:space="preserve">Sự phân biệt giữa hai cấu trúc số có nền tảng đo lường vững chắc trong tài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Sự trỗi dậy của trí tuệ nhân tạo trong những năm gần đây làm sâu sắc thêm, chứ không làm thay đổi, logic phân tách hai cấu trúc số của luận án. Babina và cộng sự (2024) cung cấp bằng chứng quy mô lớn rằng việc áp dụng trí tuệ nhân tạo gắn với tăng trưởng doanh nghiệp và đổi mới sản phẩm, song chủ yếu thông qua mở rộng quy mô và phạm vi sản phẩm ở những doanh nghiệp vốn đã có chiều sâu năng lực, chứ không phân bổ đồng đều cho mọi doanh nghiệp áp dụng công cụ số. Phát hiện này nhất quán với</w:t>
      </w:r>
      <w:r>
        <w:t xml:space="preserve"> </w:t>
      </w:r>
      <w:r>
        <w:t xml:space="preserve">“</w:t>
      </w:r>
      <w:r>
        <w:t xml:space="preserve">đường cong J năng suất</w:t>
      </w:r>
      <w:r>
        <w:t xml:space="preserve">”</w:t>
      </w:r>
      <w:r>
        <w:t xml:space="preserve"> </w:t>
      </w:r>
      <w:r>
        <w:t xml:space="preserve">của Brynjolfsson và cộng sự (2021), theo đó lợi ích năng suất của các công nghệ đa dụng chỉ hiện thực hóa sau một độ trễ đầu tư vào tài sản vô hình bổ trợ, hàm ý rằng việc chấp nhận công cụ số bề mặt (DAI) và việc tích lũy năng lực tổ chức sâu (TCI) tách biệt cả về thời gian lẫn cơ chế tạo giá trị. Đồng thời, một khối bằng chứng vĩ mô cho thấy năng lực số phân bố cực kỳ không đồng đều giữa các nền kinh tế: khoảng cách kết nối internet vẫn còn rất lớn ở các nền kinh tế thu nhập thấp (Pirlea &amp; Corso, 2026), và bất bình đẳng trong tiếp cận cũng như sử dụng trí tuệ nhân tạo còn sâu sắc hơn (Mahler, Wang &amp; Weber, 2026). Katz và Callorda (2018) định lượng đóng góp kinh tế của băng thông rộng và số hóa, cho thấy hiệu ứng của hạ tầng số lên tăng trưởng phụ thuộc vào ngưỡng phát triển và chất lượng quy định. Những bằng chứng vĩ mô này không phải là bối cảnh ngoài lề mà có hàm ý lý thuyết trực tiếp đối với khung của luận án: vì hạ tầng và kỹ năng số là điều kiện cần để công cụ số phát huy tác dụng phối hợp xuyên biên giới, hiệu ứng điều tiết của DAI được dự báo là phụ thuộc bối cảnh thể chế chứ không phổ quát, một dự đoán có điều kiện được phát biểu tường minh trong giả thuyết H3 và H5.</w:t>
      </w:r>
    </w:p>
    <w:p>
      <w:pPr>
        <w:pStyle w:val="BodyText"/>
      </w:pPr>
      <w:r>
        <w:t xml:space="preserve">Trong luận án, lớp mở rộng về năng lực số đóng vai trò mở rộng lý thuyết dựa trên nguồn lực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quốc tế hóa và hiệu quả,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bookmarkEnd w:id="58"/>
    <w:bookmarkStart w:id="59" w:name="X5351f39cc7bc299b61343616cb359899dc51e77"/>
    <w:p>
      <w:pPr>
        <w:pStyle w:val="Heading3"/>
      </w:pPr>
      <w:r>
        <w:t xml:space="preserve">2.2.6 Tổng hợp khung lý thuyết: nguyên tắc tích hợp đa tầng</w:t>
      </w:r>
    </w:p>
    <w:p>
      <w:pPr>
        <w:pStyle w:val="FirstParagraph"/>
      </w:pPr>
      <w:r>
        <w:t xml:space="preserve">Việc đặt cạnh nhau năm lý thuyết nền không tự động tạo thành một khung tích hợp; điều phân biệt một khung tích hợp với một danh sách lý thuyết rời rạc là sự minh định về cách các lý thuyết liên kết với nhau theo cấp độ phân tích và về điều kiện biên áp dụng của từng lý thuyết. Tiểu mục này tổng hợp năm lớp lý thuyết thành một logic tích hợp duy nhất, làm nền cho khung CDCM được trình bày ở Mục 2.5.</w:t>
      </w:r>
    </w:p>
    <w:p>
      <w:pPr>
        <w:pStyle w:val="BodyText"/>
      </w:pPr>
      <w:r>
        <w:t xml:space="preserve">Nguyên tắc tổ chức thứ nhất là phân tầng theo cấp độ phân tích. Mỗi lý thuyết soi sáng một tầng nguyên nhân riêng biệt nhưng vận hành đồng thời: mô hình Uppsala định vị cơ chế ở cấp quá trình, giải thích chi phí học hỏi và động thái tích lũy tri thức theo thời gian; lý thuyết dựa trên nguồn lực định vị cơ chế ở cấp doanh nghiệp, giải thích vì sao cùng một mức quốc tế hóa lại tạo ra hiệu quả khác nhau giữa các doanh nghiệp; lý thuyết thể chế định vị cơ chế ở cấp bối cảnh quốc gia, giải thích biến thiên theo môi trường nền; lý thuyết thượng tầng quản trị định vị cơ chế ở cấp cá nhân người ra quyết định; và lăng kính năng lực số bổ sung một chiều ngang cắt qua cả bốn tầng, phản ánh cách công nghệ số tái định hình chi phí học hỏi, bản chất nguồn lực, hiệu lực thể chế và năng lực nhận thức của nhà quản trị. Quan điểm dựa trên thể chế trong chiến lược quốc tế của Peng và cộng sự (2008), vốn đề xuất thể chế như trụ cột thứ ba bên cạnh quan điểm dựa trên ngành và quan điểm dựa trên nguồn lực, cung cấp chính cái khớp nối lý thuyết cho phép các tầng này tương tác thay vì tồn tại song song; trong khung của luận án, thể chế không chỉ là biến bối cảnh mà là yếu tố định hình hiệu lực của mọi tầng cơ chế còn lại.</w:t>
      </w:r>
    </w:p>
    <w:p>
      <w:pPr>
        <w:pStyle w:val="BodyText"/>
      </w:pPr>
      <w:r>
        <w:t xml:space="preserve">Nguyên tắc tổ chức thứ hai là bổ sung thay vì cạnh tranh. Các tranh luận trong tài liệu thường khung hóa các lý thuyết này như những giải thích đối kháng, ví dụ tranh luận giữa giải thích dựa trên năng lực và giải thích dựa trên thể chế cho hiệu quả hoạt động kinh doanh của doanh nghiệp ở các nền kinh tế mới nổi. Luận án lập luận rằng sự đối kháng này phần lớn là biểu kiến: vì các cơ chế vận hành ở các cấp độ khác nhau, chúng không loại trừ nhau mà tương tác. Kano và cộng sự (2020), trong tổng quan đa ngành về chuỗi giá trị toàn cầu, minh họa rõ rằng kết quả của doanh nghiệp khi tham gia hoạt động xuyên biên giới là sản phẩm đồng thời của năng lực nội tại, cấu trúc quản trị và bối cảnh thể chế, chứ không quy giản về bất kỳ yếu tố đơn lẻ nào. Logic tương tác này là cơ sở để luận án mô hình hóa các biến điều tiết một cách đồng thời thay vì kiểm định rời rạc từng biến.</w:t>
      </w:r>
    </w:p>
    <w:p>
      <w:pPr>
        <w:pStyle w:val="BodyText"/>
      </w:pPr>
      <w:r>
        <w:t xml:space="preserve">Tuy nhiên, bổ sung thay vì cạnh tranh không có nghĩa là gộp các lý thuyết một cách hình thức; việc kết hợp các lý thuyết có tiền đề khác nhau đòi hỏi minh định chính các tiền đề đó để tránh một khung tích hợp gượng ép (Santangelo &amp; Verbeke, 2022). Năm lý thuyết nền của luận án dựa trên những tiền đề khác nhau về đơn vị phân tích và bản chất hành vi: mô hình Uppsala giả định doanh nghiệp học hỏi tiệm tiến và e ngại bất định; lý thuyết dựa trên nguồn lực giả định tính dị biệt và khó di chuyển của nguồn lực; lý thuyết thể chế giả định hành vi bị ràng buộc bởi cấu trúc khuyến khích bên ngoài; lý thuyết thượng tầng quản trị giả định tính duy lý có giới hạn và vai trò của nhận thức cá nhân; và lăng kính năng lực số giả định công nghệ làm thay đổi chi phí giao dịch và bản chất tài sản. Luận án hòa giải các tiền đề này không phải bằng cách xem chúng loại trừ nhau mà bằng cách định vị chúng như các lát cắt bổ sung của cùng một quá trình: thể chế định khung không gian lựa chọn, năng lực và nhà quản trị quyết định cách doanh nghiệp di chuyển trong không gian đó, và logic số dịch chuyển các đường biên chi phí. Lý thuyết bàn đạp (Luo &amp; Tung, 2007) được tích hợp đúng theo nguyên tắc này: nó không thay thế mà bổ sung một tiền đề động cơ đặc thù cho doanh nghiệp nền kinh tế mới nổi, rằng quốc tế hóa đồng thời là phương tiện thâu nhận năng lực còn thiếu, và tiền đề này tương thích với chứ không mâu thuẫn với logic tích lũy năng lực của lý thuyết dựa trên nguồn lực, miễn là giữ rõ phân biệt giữa chiều đầu tư thâu tóm tài sản và chiều cường độ xuất khẩu mà luận án vận hành hóa.</w:t>
      </w:r>
    </w:p>
    <w:p>
      <w:pPr>
        <w:pStyle w:val="BodyText"/>
      </w:pPr>
      <w:r>
        <w:t xml:space="preserve">Nguyên tắc tổ chức thứ ba là điều kiện biên. Một khung tích hợp chỉ chặt chẽ khi nó xác định được không chỉ nơi lý thuyết áp dụng mà cả nơi lý thuyết thất bại. Hennart (2007) đã cảnh báo rằng quan hệ giữa mức độ đa quốc gia và hiệu quả không phải là quy luật phổ quát mà phụ thuộc vào bản chất tài sản đặc thù; điều kiện biên FIP tại các nền kinh tế đảo nhỏ, phát biểu trong giả thuyết H1b, chính là sự cụ thể hóa cảnh báo này thành một mệnh đề kiểm định được, xác định bối cảnh nơi dạng hàm chữ U ngược sụp đổ thành quan hệ âm đơn điệu. Việc khung tích hợp bao gồm cả điều kiện biên cực trị, thay vì chỉ khẳng định tính phổ quát của một dạng hàm, là điều phân biệt một lý thuyết có khả năng phản nghiệm với một mô tả thiếu ràng buộc. Tóm lại, ba nguyên tắc phân tầng theo cấp độ, bổ sung thay vì cạnh tranh, và điều kiện biên tường minh cấu thành logic tích hợp của khung CDCM, và mỗi nguyên tắc được phản ánh trực tiếp trong cấu trúc của hệ giả thuyết H1 đến H6 cùng điều kiện biên H1b.</w:t>
      </w:r>
    </w:p>
    <w:p>
      <w:r>
        <w:pict>
          <v:rect style="width:0;height:1.5pt" o:hralign="center" o:hrstd="t" o:hr="t"/>
        </w:pict>
      </w:r>
    </w:p>
    <w:bookmarkEnd w:id="59"/>
    <w:bookmarkEnd w:id="60"/>
    <w:bookmarkStart w:id="66" w:name="tổng-quan-thực-nghiệm"/>
    <w:p>
      <w:pPr>
        <w:pStyle w:val="Heading2"/>
      </w:pPr>
      <w:r>
        <w:t xml:space="preserve">2.3 Tổng quan thực nghiệm</w:t>
      </w:r>
    </w:p>
    <w:bookmarkStart w:id="61" w:name="X1e39cfc3d1b9c8356c5326814ae68b4597d1aa9"/>
    <w:p>
      <w:pPr>
        <w:pStyle w:val="Heading3"/>
      </w:pPr>
      <w:r>
        <w:t xml:space="preserve">2.3.1 Giai đoạn phát triển của tài liệu về quan hệ quốc tế hóa và hiệu quả</w:t>
      </w:r>
    </w:p>
    <w:p>
      <w:pPr>
        <w:pStyle w:val="FirstParagraph"/>
      </w:pPr>
      <w:r>
        <w:t xml:space="preserve">Nghiên cứu về mối quan hệ giữa quốc tế hóa và hiệu quả hoạt động kinh doanh của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quốc tế hóa và hiệu quả.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quốc tế hóa và hiệu quả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tài liệu về quan hệ quốc tế hóa và hiệu quả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tài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thiết lập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p>
      <w:pPr>
        <w:pStyle w:val="BodyText"/>
      </w:pPr>
      <w:r>
        <w:t xml:space="preserve">Sự đa dạng về dạng hàm được đề xuất trong tài liệu phi tuyến đáng được lược khảo chi tiết hơn, vì chính sự đa dạng này là một phần của khoảng trống mà luận án giải quyết. Bên cạnh dạng chữ U ngược bậc hai và dạng chữ S ba giai đoạn, một số nghiên cứu đề xuất các dạng hàm phức tạp hơn. Almodóvar và Rugman (2014) đề xuất</w:t>
      </w:r>
      <w:r>
        <w:t xml:space="preserve"> </w:t>
      </w:r>
      <w:r>
        <w:t xml:space="preserve">“</w:t>
      </w:r>
      <w:r>
        <w:t xml:space="preserve">đường cong chữ M</w:t>
      </w:r>
      <w:r>
        <w:t xml:space="preserve">”</w:t>
      </w:r>
      <w:r>
        <w:t xml:space="preserve"> </w:t>
      </w:r>
      <w:r>
        <w:t xml:space="preserve">cho các doanh nghiệp khởi nghiệp quốc tế mới, hàm ý hai điểm uốn phản ánh hai chu kỳ học hỏi liên tiếp. Tallman và Li (1996) phân tách tác động của đa dạng quốc tế khỏi đa dạng sản phẩm và cho thấy hai chiều này có quan hệ khác nhau với hiệu quả, một lời nhắc rằng cách vận hành hóa quốc tế hóa quyết định dạng hàm quan sát được. Riahi-Belkaoui (1998) cung cấp bằng chứng ban đầu về dạng phi tuyến trên mẫu doanh nghiệp đa quốc gia, trong khi Miller và cộng sự (2016) lập luận rằng việc gộp ba thành phần cường độ, đa dạng và khoảng cách của quốc tế hóa vào một thước đo duy nhất che khuất các quan hệ trái chiều mà mỗi thành phần có với hiệu quả. Tsionas và Tzeremes (2021) đo lường trực tiếp quan hệ giữa mức độ quốc tế hóa và năng suất doanh nghiệp trên mẫu các doanh nghiệp đa quốc gia lớn, cung cấp một tiền lệ phương pháp luận cho việc luận án sử dụng năng suất lao động làm biến phụ thuộc thay vì các thước đo dựa trên kế toán. Cần lưu ý, Schmuck và cộng sự (2022) đảo ngược chiều nhân quả thường được giả định và kiểm định khả năng hiệu quả cao dẫn đến mức độ đa quốc gia cao, một lời nhắc rằng vấn đề nội sinh trong quan hệ quốc tế hóa và hiệu quả không thể bỏ qua. Nhìn lại, sự phân tán về dạng hàm và về chiều nhân quả trong tài liệu củng cố luận điểm trung tâm của luận án rằng không tồn tại một dạng hàm phổ quát; hình dạng quan sát được là sản phẩm của bối cảnh, cách đo lường và chiến lược nhận diện, và do đó phải được lý thuyết hóa thay vì giả định.</w:t>
      </w:r>
    </w:p>
    <w:bookmarkEnd w:id="61"/>
    <w:bookmarkStart w:id="62" w:name="bằng-chứng-từ-phân-tích-tổng-hợp"/>
    <w:p>
      <w:pPr>
        <w:pStyle w:val="Heading3"/>
      </w:pPr>
      <w:r>
        <w:t xml:space="preserve">2.3.2 Bằng chứng từ phân tích tổng hợp</w:t>
      </w:r>
    </w:p>
    <w:p>
      <w:pPr>
        <w:pStyle w:val="FirstParagraph"/>
      </w:pPr>
      <w:r>
        <w:t xml:space="preserve">Một trong những đóng góp quan trọng nhất trong giai đoạn gần đây là sự phát triển của các phân tích tổng hợp về quan hệ quốc tế hóa và hiệu quả, cho phép tổng hợp và định lượng hóa kết quả từ hàng trăm nghiên cứu thực nghiệm riêng lẻ. Tổng hợp từ các phân tích tổng hợp chính cho thấy một kết quả nhất quán nhưng phức tạp.</w:t>
      </w:r>
    </w:p>
    <w:p>
      <w:pPr>
        <w:pStyle w:val="BodyText"/>
      </w:pPr>
      <w:r>
        <w:t xml:space="preserve">Bausch và Krist (2007) phân tích 36 nghiên cứu (41 mẫu) và tìm thấy tác động tổng hợp dương nhưng nhỏ, đồng thời xác nhận rằng mức độ dị biệt (heterogeneity) giữa các nghiên cứu rất cao với I² &gt; 80%, hàm ý rằng các biến điều tiết là nguồn giải thích chủ yếu cho sự khác biệt. Kirca et al. (2012) mở rộng mẫu gộp lên 152 mẫu (141 nghiên cứu) và tìm thấy tác động tổng hợp tương tự, đồng thời xác nhận vai trò của bối cảnh quốc gia và ngành. Marano et al. (2016), nghiên cứu phân tích tổng hợp toàn diện nhất trong tài liệu với 359 nghiên cứu và 32 quốc gia, tìm thấy r ≈ 0,07–0,13 và chứng minh rằng thể chế quốc gia nguồn là biến điều tiết quan trọng nhất trong tất cả các biến bối cảnh được kiểm định. Wu et al. (2022) cập nhật với mẫu gộp 218 quy mô hiệu ứng tập trung vào các thị trường mới nổi multinationals (EMNEs) và tìm thấy mô hình biến điều tiết tương tự. Tại hội nghị ICBEF 2024, kết quả sơ bộ từ mẫu gộp nghiên cứu về châu Á với k = 113 nghiên cứu cho thấy r = 0,07, nhất quán với các phân tích tổng hợp toàn cầu nhưng cụ thể hơn về bối cảnh châu Á. Luận án này mở rộng mẫu gộp đó thông qua Nghiên cứu P6, một phân tích tổng hợp ba tầng (three-level MARA) với k = 238 nghiên cứu và K = 288 quy mô hiệu ứng từ 49 nền kinh tế trên toàn cầu (châu Á–Thái Bình Dương là tiểu mẫu chủ đạo, chiếm 52% corpus, dùng làm phân tích độ nhạy theo vùng), ước lượng r̄ = 0,074 [KTC 95%: 0,060; 0,088], I² = 62,4%, Q_M(ICRV) = 17,35 (df = 4, p = ,002). Kết quả này xác nhận tác động tổng hợp dương nhỏ nhưng bền vững, đồng thời chứng minh rằng phổ thể chế ICRV, điểm uốn giảm dần khi chuyển từ thể chế yếu sang thể chế mạnh, là biến điều tiết thực chất của mối quan hệ quốc tế hóa và hiệu quả trên corpus toàn cầu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quốc tế hóa và hiệu quả. Ở cấp doanh nghiệp, Arbelo, Arbelo-Pérez và Pérez-Gómez (2024) chứng minh quan hệ quốc tế hóa và hiệu quả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Về tổng thể, bằng chứng phân tích tổng hợp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Khoảng cách văn hóa và thể chế giữa thị trường nguồn và thị trường đích cũng là một biên bối cảnh quan trọng: Beugelsdijk et al. (2018), qua một phân tích tổng hợp về khoảng cách văn hóa và quá trình quốc tế hóa của doanh nghiệp, cho thấy hệ quả của quốc tế hóa thay đổi một cách hệ thống theo khoảng cách này, củng cố nhận định rằng chính bối cảnh chứ không phải một dạng hàm phổ quát mới chi phối kết quả. Kết luận về vai trò trung tâm của thể chế quốc gia tiếp tục được củng cố bởi bằng chứng rất gần đây: Kalubandi và cộng sự (2025), qua một phân tích tổng hợp quy mô lớn trên 292 mẫu độc lập với 598.525 quan sát doanh nghiệp và năm, dùng cùng họ phương pháp hồi quy phân tích tổng hợp như Nghiên cứu thành phần P6, phát hiện rằng thể chế quốc gia nguồn điều tiết dương quan hệ giữa tinh thần kinh doanh quốc tế và hiệu quả, song hành trực tiếp với giả thuyết H5 của luận án về vai trò điều tiết của chất lượng thể chế. Đây là luận điểm cơ bản biện hộ cho sự cần thiết của một khung giải thích đa tầng.</w:t>
      </w:r>
    </w:p>
    <w:p>
      <w:pPr>
        <w:pStyle w:val="BodyText"/>
      </w:pPr>
      <w:r>
        <w:t xml:space="preserve">Giá trị của bằng chứng phân tích tổng hợp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phân tích tổng hợp nên được ưu tiên hơn so với đếm phiếu, vì phân tích tổng hợp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phân tích tổng hợp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Tóm lại, bằng chứng phân tích tổng hợp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p>
      <w:pPr>
        <w:pStyle w:val="BodyText"/>
      </w:pPr>
      <w:r>
        <w:t xml:space="preserve">Một chiều quan trọng khác mà bằng chứng phân tích tổng hợp mở ra là vấn đề nhận diện nhân quả trong một tài liệu chủ yếu dựa trên dữ liệu quan sát. Shaver (2020) lập luận rằng trong nghiên cứu chiến lược và tổ chức, nhận diện nhân quả đáng tin cậy thường đến từ một khối nghiên cứu tích lũy hơn là từ một thiết kế đơn lẻ hoàn hảo, vì mỗi nghiên cứu xử lý một mối đe dọa nội sinh khác nhau và sự hội tụ của bằng chứng qua nhiều bối cảnh nâng cao độ tin cậy của suy luận. Quan điểm này biện hộ trực tiếp cho kiến trúc nghiên cứu thành phần của luận án, trong đó nhiều nghiên cứu đơn quốc gia với chiến lược nhận diện khác nhau hội tụ về cùng một mô thức phi tuyến và cùng một logic điều tiết thể chế. Eden và Nielsen (2020) bổ sung một cảnh báo phương pháp luận rằng nghiên cứu kinh doanh quốc tế đối mặt với độ phức tạp đặc thù do tính lồng ghép đa cấp của dữ liệu, từ doanh nghiệp đến ngành đến quốc gia, đòi hỏi các kỹ thuật ước lượng tôn trọng cấu trúc phân cấp này; yêu cầu đó được luận án đáp ứng bằng mô hình ba tầng trong Nghiên cứu thành phần P6 và bằng hiệu ứng cố định nền kinh tế và năm trong các mô hình hồi quy cấp doanh nghiệp. Abdi và Aulakh (2018) làm sâu sắc thêm khái niệm quốc tế hóa bằng cách phân tách ba chiều mức độ, thời lượng và quy mô hoạt động ở thị trường nước ngoài, cho thấy rằng kết luận về quan hệ quốc tế hóa và hiệu quả nhạy cảm với chiều nào của quốc tế hóa được đo lường. Cùng hướng này, phân tích tổng hợp gần đây của Fariborzi, Verbeke và Steel (2025), sử dụng mô hình hóa phương trình cấu trúc trong phân tích tổng hợp trên 378 nghiên cứu, phân biệt rõ tiền tố cấp cá nhân với tiền tố cấp doanh nghiệp và ba chiều tốc độ, phạm vi và cường độ của quốc tế hóa, đồng thời cho thấy hệ quả hiệu quả phụ thuộc vào chiều được xét và vào cấp độ phân tích; kết quả này vừa biện minh cho lựa chọn đo lường nhất quán của luận án, vừa kết nối tài liệu phân tích tổng hợp với chương trình nghị sự nền tảng vi mô về phân tách hiệu ứng cấp cá nhân và cấp tổ chức. Nguyen và Kim (2020), trong một lược khảo và mở rộng tài liệu về quan hệ đa quốc gia và hiệu quả, nhấn mạnh rằng những kết luận trái ngược trong tài liệu phần lớn bắt nguồn từ khác biệt trong thước đo, mẫu và thiết lập mô hình hơn là từ sự không tồn tại của một quan hệ thực chất. Những đóng góp phương pháp luận này không chỉ định khung cho việc đọc bằng chứng phân tích tổng hợp một cách thận trọng mà còn định hình trực tiếp các lựa chọn thiết kế của luận án, được trình bày chi tiết ở Chương 3.</w:t>
      </w:r>
    </w:p>
    <w:bookmarkEnd w:id="62"/>
    <w:bookmarkStart w:id="63"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tài liệu về quan hệ quốc tế hóa và hiệu quả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Một góc nhìn lý thuyết gần đây bổ sung chiều giải thích cho mô thức cường độ xuất khẩu thấp đặc trưng của khu vực. Verbeke, Oh và Jain (2025), kế thừa truyền thống nghiên cứu doanh nghiệp đa quốc gia theo vùng, lập luận rằng phần lớn các doanh nghiệp lớn trên thế giới vẫn định hướng nội vùng chứ không thực sự toàn cầu, với hơn một nửa doanh số tập trung ở khu vực bản địa. Quan điểm này giúp giải thích vì sao ngay cả ở các nền kinh tế thể chế mạnh nhất trong mẫu của luận án, như Singapore và Nhật Bản, cường độ xuất khẩu trung bình cấp doanh nghiệp vẫn thấp và đường cong quốc tế hóa và hiệu quả có xu hướng duỗi thẳng về gần tuyến tính với điểm uốn nằm ngoài miền quan sát: phần lớn doanh nghiệp tập trung ở nhánh tham gia thấp của phân phối cường độ xuất khẩu thay vì ở vùng thâm dụng xuất khẩu cao. Các tác giả đồng thời đặt nghiên cứu doanh nghiệp đa quốc gia trước bốn thách thức lớn đương đại là chuyển đổi số, bất ổn địa chính trị, biến đổi khí hậu và khả năng chống chịu trước gián đoạn quy mô lớn, bốn lực mà luận án cũng định vị là bối cảnh cấp bách cho khu vực châu Á và Thái Bình Dương trong Mục 1.1.1.</w:t>
      </w:r>
    </w:p>
    <w:p>
      <w:pPr>
        <w:pStyle w:val="BodyText"/>
      </w:pPr>
      <w:r>
        <w:t xml:space="preserve">Nghiên cứu thành phần P1 là nghiên cứu thực nghiệm đa quốc gia quy mô lớn nhất hiện có về quan hệ quốc tế hóa và hiệu quả trong bối cảnh châu Á mới nổi, phân tích 40.633 doanh nghiệp từ 17 nền kinh tế châu Á sử dụng dữ liệu WBES. Nghiên cứu tìm thấy hai phát hiện chính. Thứ nhất, tồn tại phân tầng năng suất rõ rệt giữa nhóm Đại Trung Hoa, Nam Á và ASEAN, phản ánh sự dị biệt thể chế và năng lực giữa các nhóm. Thứ hai, việc áp dụng công nghệ vừa làm tăng năng suất lao động trực tiếp vừa làm suy giảm đáng kể tác động bất lợi của các rào cản thể chế, một phát hiện được gọi là hiệu ứng lá chắn số. Nghiên cứu thành phần P2 kiểm định cụ thể với dữ liệu doanh nghiệp nhỏ và vừa Trung Quốc và tìm thấy dạng chữ U ngược bậc hai với ngưỡng cường độ xuất khẩu tối ưu khoảng 47,8%, tức điểm uốn khá thấp so với các nền kinh tế tiên tiến. Luận án kế thừa và mở rộng các kết quả này trên mẫu đầy đủ 50 nền kinh tế, bao gồm 7 nền kinh tế đảo nhỏ Thái Bình Dương trong mẫu chính và 9 nền khi mở rộng kiểm định độ vững.</w:t>
      </w:r>
    </w:p>
    <w:p>
      <w:pPr>
        <w:pStyle w:val="BodyText"/>
      </w:pPr>
      <w:r>
        <w:t xml:space="preserve">Phần lớn các nghiên cứu về quốc tế hóa và hiệu quả trong bối cảnh châu Á tập trung vào Nhật Bản, Hàn Quốc, Đài Loan, và Trung Quốc, trong khi các nền kinh tế chuyển đổi như Việt Nam, Campuchia, Bangladesh, và đặc biệt là các SIDS, về cơ bản thiếu vắng trong tài liệu. Ngay cả trong nhóm tiên tiến Đông Á, sự đồng nhất cũng không nên được giả định: Hemmert và Jackson (2016), qua so sánh doanh nghiệp Nhật Bản và Hàn Quốc, cho thấy không tồn tại một mô hình quốc tế hóa Đông Á duy nhất mà có những khác biệt hệ thống giữa hai nền, một phát hiện củng cố cách luận án phân biệt nội bộ nhóm thể chế thay vì gộp các nền tiên tiến thành một khối. Ở chiều ASEAN, bằng chứng gần đây của Murhadi và cộng sự (2025) trên doanh nghiệp Indonesia và Malaysia cho thấy quản trị doanh nghiệp và mức độ quốc tế hóa cùng tác động đến hiệu quả tài chính, bổ sung một chiều quản trị cho diện mạo khu vực mà luận án bao phủ ở cấp doanh nghiệp. Sự thiếu đại diện này tạo ra khoảng trống nghiêm trọng trong khả năng khái quát hóa lý thuyết, vì các nền kinh tế biên thể chế yếu và đảo nhỏ có thể là địa điểm quan trọng để kiểm định điều kiện biên của các lý thuyết về quốc tế hóa và hiệu quả.</w:t>
      </w:r>
    </w:p>
    <w:p>
      <w:pPr>
        <w:pStyle w:val="BodyText"/>
      </w:pPr>
      <w:r>
        <w:t xml:space="preserve">Tài liệu về quan hệ quốc tế hóa và hiệu quả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hoạt động kinh doanh của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p>
      <w:pPr>
        <w:pStyle w:val="BodyText"/>
      </w:pPr>
      <w:r>
        <w:t xml:space="preserve">Bằng chứng cấp doanh nghiệp ở châu Á cũng cho thấy rằng cấu trúc sở hữu và quy mô doanh nghiệp là những nguồn dị biệt quan trọng trong quan hệ quốc tế hóa và hiệu quả, củng cố sự cần thiết của một khung lấy biến điều tiết làm trung tâm. Đối với doanh nghiệp nhỏ và vừa, Lu và Beamish (2001) cùng Pangarkar (2008) cho thấy quốc tế hóa có thể nâng cao hiệu quả nhưng theo một quan hệ phụ thuộc vào nguồn lực và mức độ cam kết thị trường, nhất quán với logic phi tuyến của luận án. Đối với doanh nghiệp gia đình và doanh nghiệp thuộc tập đoàn kinh doanh, vốn là hình thức tổ chức phổ biến ở Nam Á và Đông Á, Mondal và cộng sự (2022) cùng Gaur và Kumar (2009) cho thấy quan hệ phụ thuộc vào việc liên kết tập đoàn cung cấp nguồn lực nội bộ thay thế cho thị trường bên ngoài còn kém phát triển, một biểu hiện trực tiếp của logic khoảng trống thể chế ở cấp doanh nghiệp. Pattnaik và Elango (2009) cùng Singla và George (2013) cung cấp bằng chứng từ doanh nghiệp Ấn Độ rằng nguồn lực doanh nghiệp điều tiết quan hệ quốc tế hóa và hiệu quả và rằng bối cảnh thể chế quốc gia định hình quan hệ này một cách hệ thống. Ở chiều đầu tư ra nước ngoài, Buckley và cộng sự (2007) phân tích các yếu tố quyết định đầu tư trực tiếp ra nước ngoài của doanh nghiệp Trung Quốc, làm nổi bật vai trò của yếu tố thể chế quốc gia nguồn trong việc định hình chiến lược quốc tế hóa của các doanh nghiệp đa quốc gia thị trường mới nổi, trong khi Likitwongkajon và Vithessonthi (2020) cho thấy bằng chứng từ Nhật Bản rằng tác động của đầu tư nước ngoài lên giá trị và hiệu quả hoạt động kinh doanh của doanh nghiệp không nhất thiết dương và phụ thuộc vào điều kiện cụ thể. Sự phong phú nhưng phân mảnh của bằng chứng đơn quốc gia này, mỗi nghiên cứu xử lý một loại doanh nghiệp và một bối cảnh thể chế, chính là điều biện hộ cho cách tiếp cận tích hợp đa quốc gia của luận án: chỉ khi đặt các bối cảnh này trên cùng một phổ thể chế và cùng một khung đo lường mới có thể phân tách được phần dị biệt do bối cảnh thể chế tạo ra khỏi phần do đặc trưng doanh nghiệp.</w:t>
      </w:r>
    </w:p>
    <w:bookmarkEnd w:id="63"/>
    <w:bookmarkStart w:id="64" w:name="Xf94cf23d1de076e91e891b422e4f6a7a4055831"/>
    <w:p>
      <w:pPr>
        <w:pStyle w:val="Heading3"/>
      </w:pPr>
      <w:r>
        <w:t xml:space="preserve">2.3.4 Vai trò của năng lực số trong mối quan hệ quốc tế hóa và hiệu quả</w:t>
      </w:r>
    </w:p>
    <w:p>
      <w:pPr>
        <w:pStyle w:val="FirstParagraph"/>
      </w:pPr>
      <w:r>
        <w:t xml:space="preserve">Sự tích hợp giữa nghiên cứu về năng lực số và quan hệ quốc tế hóa và hiệu quả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quốc tế hóa và hiệu quả, với doanh nghiệp có năng lực số cao hơn thu được lợi ích lớn hơn từ quốc tế hóa. Banalieva và Dhanaraj (2019) phát triển lý thuyết nội bộ hóa cho nền kinh tế số, lập luận rằng công nghệ số làm giảm chi phí phối hợp và chi phí giao dịch xuyên biên giới, qua đó hạ thấp rào cản chi phí khi doanh nghiệp thâm nhập thị trường nước ngoài.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quốc tế hóa và hiệu quả, song nghiên cứu này, giống như đa số tài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p>
      <w:pPr>
        <w:pStyle w:val="BodyText"/>
      </w:pPr>
      <w:r>
        <w:t xml:space="preserve">Cần đặt cơ chế của năng lực số trong một khung rộng hơn về các ràng buộc thực chất mà doanh nghiệp ở các nền kinh tế đang phát triển đối mặt khi quốc tế hóa, vì chính những ràng buộc này tạo ra dư địa để công cụ số phát huy hoặc không phát huy tác dụng. Tài liệu kinh tế học thương mại cho thấy ràng buộc tín dụng là một trong những rào cản nghiêm trọng nhất đối với xuất khẩu: Manova (2013) chứng minh trên cơ sở lý thuyết và thực nghiệm rằng các doanh nghiệp ở những quốc gia có hệ thống tài chính kém phát triển bị hạn chế khả năng tham gia thương mại quốc tế do không huy động được vốn lưu động cho chi phí cố định của xuất khẩu, trong khi Demir và Javorcik (2018) cho thấy tín dụng thương mại có thể thay thế một phần cho tín dụng ngân hàng và nới lỏng ràng buộc này. Trong khung của luận án, các phát hiện này có hàm ý cơ chế rõ ràng: ở những bối cảnh mà ràng buộc tài chính và khoảng trống thể chế bóp nghẹt khả năng chuyển hóa quốc tế hóa thành hiệu quả, công cụ số ở giao diện ngoại tại có thể giảm chi phí giao dịch và mở rộng khả năng tiếp cận thông tin thị trường, qua đó bù đắp một phần cho hạ tầng thể chế và tài chính còn thiếu, đúng theo logic lá chắn số được phát biểu trong giả thuyết H5. Avenyo và cộng sự (2021) bổ sung bằng chứng từ doanh nghiệp châu Phi rằng năng lực sản xuất nội tại quyết định kết quả xuất khẩu, song song với phát hiện của Ayyagari và cộng sự (2011) rằng đổi mới ở các nền kinh tế mới nổi gắn chặt với năng lực hấp thụ và môi trường thể chế. Tổng hợp các bằng chứng này, luận án định vị TCI và DAI không phải như những yếu tố tách rời khỏi cấu trúc kinh tế nền, mà như hai cơ chế tương tác với ràng buộc tài chính và thể chế đặc thù của từng chế độ ICRV, qua đó cung cấp cơ sở lý thuyết cho dự đoán rằng hiệu ứng điều tiết của năng lực số mạnh nhất ở biên dưới của phổ thể chế.</w:t>
      </w:r>
    </w:p>
    <w:bookmarkEnd w:id="64"/>
    <w:bookmarkStart w:id="65"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khoảng trống thể chế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65"/>
    <w:bookmarkEnd w:id="66"/>
    <w:bookmarkStart w:id="67"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quan hệ quốc tế hóa và hiệu quả.</w:t>
      </w:r>
      <w:r>
        <w:t xml:space="preserve"> </w:t>
      </w:r>
      <w:r>
        <w:t xml:space="preserve">Các phân tích tổng hợp trước đây thường báo cáo mức dị biệt rất cao (</w:t>
      </w:r>
      <m:oMath>
        <m:sSup>
          <m:e>
            <m:r>
              <m:t>I</m:t>
            </m:r>
          </m:e>
          <m:sup>
            <m:r>
              <m:t>2</m:t>
            </m:r>
          </m:sup>
        </m:sSup>
      </m:oMath>
      <w:r>
        <w:t xml:space="preserve"> </w:t>
      </w:r>
      <w:r>
        <w:t xml:space="preserve">thường trên 80%) (Bausch &amp; Krist, 2007; Marano et al., 2016), và ngay phân tích tổng hợp cập nhật của luận án (nghiên cứu thành phần P6, Mục 4.2) cũng ghi nhận mức dị biệt đáng kể (</w:t>
      </w:r>
      <m:oMath>
        <m:sSup>
          <m:e>
            <m:r>
              <m:t>I</m:t>
            </m:r>
          </m:e>
          <m:sup>
            <m:r>
              <m:t>2</m:t>
            </m:r>
          </m:sup>
        </m:sSup>
        <m:r>
          <m:rPr>
            <m:sty m:val="p"/>
          </m:rPr>
          <m:t>=</m:t>
        </m:r>
        <m:r>
          <m:t>62</m:t>
        </m:r>
        <m:r>
          <m:rPr>
            <m:sty m:val="p"/>
          </m:rPr>
          <m:t>,</m:t>
        </m:r>
        <m:r>
          <m:t>4</m:t>
        </m:r>
        <m:r>
          <m:rPr>
            <m:sty m:val="p"/>
          </m:rPr>
          <m:t>%</m:t>
        </m:r>
      </m:oMath>
      <w:r>
        <w:t xml:space="preserve">); ở cả hai trường hợp, phần lớn biến thiên trong cỡ ảnh hưởng không được giải thích bởi sai số ngẫu nhiên mà bởi sự khác biệt có hệ thống giữa các bối cảnh.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một lý thuyết đơn lẻ nào, dù là mô hình Uppsala, lý thuyết dựa trên nguồn lực, lý thuyết thể chế hay lý thuyết thượng tầng quản trị, đủ để giải thích đầy đủ sự phức tạp của quan hệ này trong bối cảnh đa quốc gia đa dạng như châu Á. Mỗi lý thuyết soi sáng một tầng nguyên nhân khác nhau: mô hình Uppsala giải thích chi phí học hỏi giai đoạn đầu, lý thuyết dựa trên nguồn lực giải thích khác biệt năng lực, lý thuyết thể chế giải thích biến thiên theo môi trường nền, và lý thuyết thượng tầng quản trị giải thích vai trò của người ra quyết định. Vì các tầng nguyên nhân này vận hành đồng thời, một khung tích hợp đa tầng, trong đó các lý thuyết bổ sung cho nhau thay vì cạnh tranh nhau, là điều kiện cần để giải thích mức dị biệt cao mà các phân tích tổng hợp ghi nhận.</w:t>
      </w:r>
    </w:p>
    <w:p>
      <w:pPr>
        <w:pStyle w:val="BodyText"/>
      </w:pPr>
      <w:r>
        <w:rPr>
          <w:bCs/>
          <w:b/>
        </w:rPr>
        <w:t xml:space="preserve">Khoảng trống thứ hai: Sự đồng nhất không hợp lý giữa TCI và DAI trong phần lớn tài liệu trước.</w:t>
      </w:r>
      <w:r>
        <w:t xml:space="preserve"> </w:t>
      </w:r>
      <w:r>
        <w:t xml:space="preserve">Phần lớn các nghiên cứu về năng lực số trong bối cảnh quốc tế hóa và hiệu quả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đa quốc gia quy mô lớn, toàn diện và có cấu trúc cho bối cảnh châu Á.</w:t>
      </w:r>
      <w:r>
        <w:t xml:space="preserve"> </w:t>
      </w:r>
      <w:r>
        <w:t xml:space="preserve">Mặc dù châu Á là khu vực kinh tế năng động và đa dạng nhất thế giới, tài liệu về quan hệ quốc tế hóa và hiệu quả vẫn thiếu bằng chứng đa quốc gia bao quát đủ rộng để kiểm định khả năng tổng quát hóa của các lý thuyết. Mẫu 17 nền kinh tế của nghiên cứu thành phần P1 là cơ sở lớn nhất hiện có trong tài liệu về châu Á, nhưng vẫn chưa bao gồm các nền kinh tế biên thể chế yếu và các nền kinh tế đảo nhỏ đang phát triển, những địa điểm cực kỳ quan trọng để kiểm định điều kiện biên của lý thuyết. Thiếu vắng các bằng chứng này khiến các lý thuyết về quan hệ quốc tế hóa và hiệu quả, vốn được xây dựng chủ yếu trên dữ liệu từ Nhật Bản, Hàn Quốc và các nền kinh tế tiên tiến, có nguy cơ bị áp dụng sai trong bối cảnh các nền kinh tế đang phát triển và chuyển đổi ở châu Á. Điều kiện biên là nơi một lý thuyết bộc lộ giới hạn của nó; do đó việc đưa các nền kinh tế ở hai cực của phổ thể chế vào khung phân tích không chỉ mở rộng phạm vi mà còn là phép thử nghiêm ngặt nhất đối với tính phổ quát của dạng hàm chữ U ngược.</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phổ thể chế của châu Á. Luận án đề xuất khung CDCM (điều tiết theo quốc gia, năng lực số và năng lực doanh nghiệp), là khung lý thuyết tích hợp đa tầng kết hợp bối cảnh thể chế (tầng vĩ mô, vận hành hóa bằng ICRV), năng lực doanh nghiệp với TCI và DAI tách biệt (tầng tổ chức), đặc điểm nhà quản trị cấp cao (tầng cá nhân), và lớp mở rộng lăng kính năng lực số. Trong khung này, cường độ xuất khẩu (FSTS) là biến độc lập chính và năng suất lao động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khung CDCM có thể giải thích đồng thời dị biệt của quan hệ quốc tế hóa và hiệu quả khi kiểm soát đầy đủ cả ba tầng trong một mô hình tích hợp ở quy mô đủ rộng để bao phủ toàn bộ phổ thể chế ICRV hay không. Tài liệu hiện tại chưa có bằng chứng kiểm định đồng thời năm biến điều tiết chính, gồm TCI, DAI, kinh nghiệm quản trị, giới tính nhà quản trị và ICRV, trong một mô hình hồi quy đơn lẻ trên dữ liệu đa quốc gia quy mô lớn. Nghiên cứu thành phần P7 lấp đầy khoảng trống này bằng dữ liệu WBES từ 50 nền kinh tế (mẫu hồi quy bậc hai</w:t>
      </w:r>
      <w:r>
        <w:t xml:space="preserve"> </w:t>
      </w:r>
      <m:oMath>
        <m:r>
          <m:t>N</m:t>
        </m:r>
        <m:r>
          <m:rPr>
            <m:sty m:val="p"/>
          </m:rPr>
          <m:t>=</m:t>
        </m:r>
        <m:r>
          <m:t>81.022</m:t>
        </m:r>
      </m:oMath>
      <w:r>
        <w:t xml:space="preserve">; mẫu mô hình đầy đủ</w:t>
      </w:r>
      <w:r>
        <w:t xml:space="preserve"> </w:t>
      </w:r>
      <m:oMath>
        <m:r>
          <m:t>N</m:t>
        </m:r>
        <m:r>
          <m:rPr>
            <m:sty m:val="p"/>
          </m:rPr>
          <m:t>=</m:t>
        </m:r>
        <m:r>
          <m:t>79.080</m:t>
        </m:r>
      </m:oMath>
      <w:r>
        <w:t xml:space="preserve"> </w:t>
      </w:r>
      <w:r>
        <w:t xml:space="preserve">sau khi loại bỏ theo danh sách các biến điều tiết khuyết, 103 cặp nền kinh tế và năm), bao phủ toàn bộ phổ thể chế ICRV từ nhóm tiên tiến đến nhóm đảo nhỏ, kiểm định đồng thời H1 đến H6 với hiệu ứng cố định nền kinh tế và năm. Điểm uốn hiệu chỉnh năng lực của P7 là 43,6% FSTS, nằm trong vùng chuyển đổi của phổ thể chế, nhất quán với P3 Việt Nam (khoảng 40%) và thấp hơn P5 Trung Quốc (khoảng 49%); cấu trúc ba vùng theo nhóm ICRV xác nhận thể chế điều tiết cả vị trí lẫn sự tồn tại của điểm uốn theo phổ thể chế dự đoán lý thuyết, đóng góp bằng chứng kiểm định tích hợp đầu tiên cho khung CDCM ở cấp độ liên quốc gia quy mô lớn.</w:t>
      </w:r>
    </w:p>
    <w:p>
      <w:pPr>
        <w:pStyle w:val="BodyText"/>
      </w:pPr>
      <w:r>
        <w:rPr>
          <w:bCs/>
          <w:b/>
        </w:rPr>
        <w:t xml:space="preserve">Từ khoảng trống đến nghiên cứu P8: kiểm định điều kiện biên FIP tại các nền kinh tế đảo nhỏ.</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hay không. Không có nghiên cứu nào trong tài liệu hiện tại kiểm định hình phạt quốc tế hóa cưỡng bức (FIP), bối cảnh mà quốc tế hóa là gánh nặng sinh tồn chứ không phải lựa chọn chiến lược dựa trên lợi thế cạnh tranh. Nghiên cứu thành phần P8 kiểm định H1b bằng dữ liệu WBES từ các nền kinh tế đảo nhỏ Thái Bình Dương (Fiji, Papua New Guinea, Quần đảo Solomon, Tonga, Vanuatu, Samoa, Kiribati), nơi ba điều kiện cấu trúc cơ bản của chữ U ngược đồng thời bị vi phạm: thị trường nội địa cực nhỏ, chi phí vận tải cao bất thường, và hỗ trợ thể chế cho xuất khẩu gần như không tồn tại. Kết quả P8 xác định điều kiện biên cực trị của khung CDCM, tức điểm nơi lý thuyết đường cong chữ U ngược không còn ứng dụng được.</w:t>
      </w:r>
    </w:p>
    <w:p>
      <w:r>
        <w:pict>
          <v:rect style="width:0;height:1.5pt" o:hralign="center" o:hrstd="t" o:hr="t"/>
        </w:pict>
      </w:r>
    </w:p>
    <w:bookmarkEnd w:id="67"/>
    <w:bookmarkStart w:id="82" w:name="mô-hình-nghiên-cứu-và-hệ-giả-thuyết"/>
    <w:p>
      <w:pPr>
        <w:pStyle w:val="Heading2"/>
      </w:pPr>
      <w:r>
        <w:t xml:space="preserve">2.5 Mô hình nghiên cứu và hệ giả thuyết</w:t>
      </w:r>
    </w:p>
    <w:bookmarkStart w:id="71"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kinh doanh của doanh nghiệp (labor productivity) được điều tiết đồng thời bởi ba tầng can thiệp. Luận điểm trọng tâm mà mô hình này vận hành hóa và hệ giả thuyết H1–H6 cùng H1b kiểm định là: trong ba tầng đó, tầng thể chế giữ vai trò quy định không chỉ độ lớn mà cả dấu và dạng hình của quan hệ quốc tế hóa và hiệu quả, đến mức tại cực trị thể chế (Nhóm VI SIDS), nơi cả ba tầng đồng thời ở mức tối thiểu, toàn bộ họ mô hình chữ U ngược ngừng áp dụng và quan hệ nghiêng về dạng âm đơn điệu (điều kiện biên FIP). Theo phân loại ba tầng đóng góp lý thuyết của Thomas và cộng sự (2011), luận án không dừng ở tầng thứ nhất (mở rộng một lý thuyết sẵn có sang bối cảnh quốc tế mới) mà đồng thời xác lập một quan hệ hàm đặc thù tại điểm chuyển thể chế, nơi dạng hàm thay đổi về chất (tầng thứ hai), và phát triển một cấu trúc lý thuyết mới là gánh nặng quốc tế hóa bắt buộc (FIP) cho cực trị của phổ thể chế (tầng thứ ba). Việc định vị này làm rõ rằng đóng góp của mô hình không nằm ở việc thêm một biến điều tiết mà ở việc lý thuyết hóa sự biến đổi dạng hàm theo vị trí thể chế.</w:t>
      </w:r>
    </w:p>
    <w:p>
      <w:pPr>
        <w:pStyle w:val="BodyText"/>
      </w:pPr>
      <w:r>
        <w:t xml:space="preserve">Tầng vĩ mô, bối cảnh thể chế, được vận hành hóa bằng khung ICRV với sáu chế độ con theo phổ thể chế từ tiên tiến đổi mới đến SIDS. Ở tầng này, ICRV điều tiết mối quan hệ quốc tế hóa và hiệu quả thông qua hai cơ chế: (i) mức độ khoảng trống thể chế ảnh hưởng đến chi phí giao dịch xuyên biên giới; và (ii) chất lượng thể chế ảnh hưởng đến khả năng doanh nghiệp khai thác lợi ích từ quốc tế hóa. Ở các nền kinh tế biên thể chế yếu và đảo nhỏ, khoảng trống thể chế cực kỳ lớn có thể đảo ngược quan hệ quốc tế hóa và hiệu quả,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uốn sang phải và kéo dài giai đoạn lợi ích dương của quan hệ quốc tế hóa và hiệu quả.</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quốc tế hóa và hiệu quả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2752534"/>
            <wp:effectExtent b="0" l="0" r="0" t="0"/>
            <wp:docPr descr="Hình 2.1. Khung khái niệm tích hợp đa tầng CDCM cho quan hệ Quốc tế hóa–Hiệu quả tại châu Á" title="" id="69" name="Picture"/>
            <a:graphic>
              <a:graphicData uri="http://schemas.openxmlformats.org/drawingml/2006/picture">
                <pic:pic>
                  <pic:nvPicPr>
                    <pic:cNvPr descr="figures/fig_2_1_cdcm_conceptual_model.png" id="70" name="Picture"/>
                    <pic:cNvPicPr>
                      <a:picLocks noChangeArrowheads="1" noChangeAspect="1"/>
                    </pic:cNvPicPr>
                  </pic:nvPicPr>
                  <pic:blipFill>
                    <a:blip r:embed="rId68"/>
                    <a:stretch>
                      <a:fillRect/>
                    </a:stretch>
                  </pic:blipFill>
                  <pic:spPr bwMode="auto">
                    <a:xfrm>
                      <a:off x="0" y="0"/>
                      <a:ext cx="5753100" cy="2752534"/>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mô hình Uppsala, lý thuyết dựa trên nguồn lực, lý thuyết thể chế, lý thuyết thượng tầng quản trị và lăng kính năng lực số.</w:t>
      </w:r>
    </w:p>
    <w:bookmarkEnd w:id="71"/>
    <w:bookmarkStart w:id="72"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lý thuyết dựa trên nguồn lực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kinh doanh của các doanh nghiệp ở các quốc gia châu Á có dạng phi tuyến chữ U ngược, với một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72"/>
    <w:bookmarkStart w:id="73"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quốc tế hóa và hiệu quả không chỉ mất đi phần lợi ích giai đoạn đầu của chữ U ngược mà có thể chuyển thành quan hệ âm đơn điệu không có điểm uốn, tức là điều kiện biên lý thuyết nơi mọi mức độ quốc tế hóa đều gây tổn hại đến hiệu quả hoạt động kinh doanh của doanh nghiệp.</w:t>
      </w:r>
    </w:p>
    <w:p>
      <w:pPr>
        <w:pStyle w:val="BodyText"/>
      </w:pPr>
      <w:r>
        <w:t xml:space="preserve">Giả thuyết H1b được phát biểu như sau. Tại các nền kinh tế SIDS (ICRV Nhóm VI), mối quan hệ giữa mức độ quốc tế hóa (FSTS) và hiệu quả hoạt động kinh doanh của doanh nghiệp (năng suất lao động) là âm đơn điệu, không có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lý thuyết thể chế (North, 1990), lý thuyết chi phí giao dịch (Williamson, 1985), Khanna và Palepu (2010) về khoảng trống thể chế, và Briguglio (1995) về các ràng buộc cấu trúc của các nền kinh tế đảo nhỏ.</w:t>
      </w:r>
    </w:p>
    <w:p>
      <w:pPr>
        <w:pStyle w:val="BodyText"/>
      </w:pPr>
      <w:r>
        <w:t xml:space="preserve">Một yêu cầu lý thuyết quan trọng đối với H1b là phân biệt FIP như một điều kiện biên thực chất với khả năng quan hệ âm đơn điệu chỉ là sản phẩm của cỡ mẫu nhỏ hoặc miền FSTS bị giới hạn. Sự phân biệt này có thể bác bỏ được về mặt thực nghiệm: nếu FIP là một cấu trúc thực, kiểm định Lind và Mehlum (2010) sẽ không phát hiện một cực đại nội vùng ngay cả khi độ phủ dữ liệu đủ rộng, và dấu của hiệu ứng biên phải âm ở cả hai biên của miền quan sát; ngược lại, nếu quan hệ âm chỉ phản ánh thiếu sức mạnh thống kê hay cắt cụt phạm vi, một cực đại nội vùng sẽ lộ ra khi mở rộng độ phủ. Đặc thù phân phối FSTS tại SIDS củng cố cách đọc cấu trúc: khối lượng doanh nghiệp tập trung ở vùng xuất khẩu cao do cưỡng bức xuất khẩu chứ không phải ở vùng FSTS thấp, nên một kết quả âm đơn điệu không thể quy cho việc thiếu quan sát ở đuôi trên của miền. Do đó H1b được phát biểu như một mệnh đề có thể kiểm sai: việc phát hiện một điểm uốn nội vùng có ý nghĩa tại SIDS khi dữ liệu đủ phủ sẽ phủ định FIP, đặt khái niệm này dưới một tiêu chí nhận dạng minh bạch chứ không phải một diễn giải hậu nghiệm.</w:t>
      </w:r>
    </w:p>
    <w:bookmarkEnd w:id="73"/>
    <w:bookmarkStart w:id="74" w:name="X77542e96d397194da81f646ed654aabb6633d54"/>
    <w:p>
      <w:pPr>
        <w:pStyle w:val="Heading3"/>
      </w:pPr>
      <w:r>
        <w:t xml:space="preserve">2.5.2c Điều kiện biên H1c: Tan biến ngưỡng dưới biến động thể chế tích lũy</w:t>
      </w:r>
    </w:p>
    <w:p>
      <w:pPr>
        <w:pStyle w:val="FirstParagraph"/>
      </w:pPr>
      <w:r>
        <w:t xml:space="preserve">Trong khi H6 dự báo ngưỡng (điểm uốn) dịch chuyển một cách có trật tự theo quá trình trưởng thành năng lực và thể chế, một khả năng đối lập về mặt lý thuyết là ngưỡng tan biến dưới một chuỗi cú sốc thể chế dồn dập, khi đó cấu trúc chữ U ngược không còn được nhận diện. Giả thuyết H1c được phát biểu như sau. Ở nền kinh tế trải qua biến động thể chế tích lũy cực đoan qua các giai đoạn (điển hình là Ấn Độ trong nghiên cứu thành phần P9), cấu trúc chữ U ngược của quan hệ quốc tế hóa và hiệu quả tan biến theo thời gian (điểm uốn dịch chuyển rồi biến mất trong miền dữ liệu), phản ánh sự phá vỡ cấu trúc chứ không phải dịch chuyển tiệm tiến. H1c là điều kiện biên thứ hai của H1 (bên cạnh H1b), phân biệt rõ với H6 ở chỗ H6 mô tả dịch chuyển có trật tự còn H1c mô tả mất cấu trúc. Cơ sở lý thuyết bao gồm North (1990) về bất định thể chế, Banalieva và Dhanaraj (2019), và bằng chứng đa đợt của P9.</w:t>
      </w:r>
    </w:p>
    <w:bookmarkEnd w:id="74"/>
    <w:bookmarkStart w:id="75" w:name="X4e283c765855921a9a0bf70a9d0a980f4bd502f"/>
    <w:p>
      <w:pPr>
        <w:pStyle w:val="Heading3"/>
      </w:pPr>
      <w:r>
        <w:t xml:space="preserve">2.5.3 Giả thuyết H2: Điều tiết bởi năng lực công nghệ (TCI)</w:t>
      </w:r>
    </w:p>
    <w:p>
      <w:pPr>
        <w:pStyle w:val="FirstParagraph"/>
      </w:pPr>
      <w:r>
        <w:t xml:space="preserve">Dựa trên lý thuyết dựa trên nguồn lực (Barney, 1991) và lý thuyết năng lực động (Teece et al., 1997), năng lực công nghệ là một nguồn lực thỏa mãn tiêu chí VRIN giúp doanh nghiệp khai thác lợi ích từ quốc tế hóa hiệu quả hơn. Giả thuyết H2 được phát biểu như sau. Năng lực công nghệ (TCI) làm gia tăng tác động tích cực của quốc tế hóa lên hiệu quả hoạt động kinh doanh của doanh nghiệp, bằng cách nâng mặt bằng hiệu quả tổng thể và làm giảm chi phí học hỏi thị trường quốc tế, do đó làm dịch chuyển đường quan hệ quốc tế hóa và hiệu quả lên cao hơn và có thể điều chỉnh vị trí của điểm uốn. Cơ sở lý thuyết bao gồm Barney (1991), Teece et al. (1997), và Bhandari et al. (2023).</w:t>
      </w:r>
    </w:p>
    <w:p>
      <w:pPr>
        <w:pStyle w:val="BodyText"/>
      </w:pPr>
      <w:r>
        <w:t xml:space="preserve">Cơ chế lý thuyết đứng sau H2 là năng lực hấp thụ: doanh nghiệp có năng lực công nghệ cao hơn xử lý tín hiệu thị trường quốc tế hiệu quả hơn, chuyển hóa tri thức bên ngoài thành cải thiện năng suất nhanh hơn, và do đó khấu hao chi phí gánh nặng người nước ngoài với tốc độ cao hơn (Cohen &amp; Levinthal, 1990). Vì cơ chế này vận hành chủ yếu qua việc nâng chiều sâu năng lực nội tại chứ không qua việc thay đổi bản chất đánh đổi của quốc tế hóa, dự đoán mạnh nhất là một hiệu ứng nâng mặt bằng phổ quát, trong khi hiệu ứng uốn lại đường cong, nếu có, sẽ phụ thuộc vào sự bổ trợ thể chế. Dự đoán này phù hợp với bằng chứng định hướng từ các nghiên cứu thành phần đơn quốc gia, nơi năng lực công nghệ liên tục xuất hiện như yếu tố nâng mặt bằng dương và có ý nghĩa, sẽ được kiểm định hệ thống ở Chương 4. Về mặt nhận dạng thực nghiệm, H2 hàm ý một mẫu hệ số phân biệt được: hệ số chính của TCI dương và có ý nghĩa (nâng mặt bằng), trong khi số hạng tương tác độ cong TCI × FSTS² không có ý nghĩa hoặc yếu (không uốn lại đường cong). Chính sự kết hợp giữa hiệu ứng mức mạnh và hiệu ứng độ cong yếu này là tiêu chí thực nghiệm cho phép tách H2 (nâng mặt bằng) khỏi H3 (uốn đường cong) ngay trong cùng một mô hình tương tác.</w:t>
      </w:r>
    </w:p>
    <w:bookmarkEnd w:id="75"/>
    <w:bookmarkStart w:id="76"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quốc tế hóa và hiệu quả, với vai trò bổ trợ rõ rệt hơn ở mức cường độ xuất khẩu cao khi DAI giúp giảm chi phí phối hợp giao dịch xuyên biên giới, theo đó DAI làm thay đổi độ dốc của đường cong chứ không nhất thiết nâng mặt bằng hiệu quả như TCI. Cơ sở lý thuyết bao gồm Verhoef et al. (2021), Stallkamp và Schotter (2021), và Banalieva và Dhanaraj (2019). Sự phân biệt cơ chế tác động giữa H2 và H3 là đóng góp lý thuyết quan trọng, cho phép phân tách TCI và DAI trong mô hình hồi quy thực nghiệm.</w:t>
      </w:r>
    </w:p>
    <w:p>
      <w:pPr>
        <w:pStyle w:val="BodyText"/>
      </w:pPr>
      <w:r>
        <w:t xml:space="preserve">Cơ chế đứng sau H3 là sự nén chi phí phối hợp ở nhánh đi xuống của đường cong. Khi cường độ xuất khẩu tăng cao, chi phí điều phối nhiều thị trường, múi giờ và chuỗi cung ứng phân tán là một nguồn chính kéo năng suất đi xuống; công cụ số làm giảm chính loại chi phí này thông qua kênh giao tiếp, theo dõi đơn hàng và phối hợp số hóa. Vì lý do đó, hiệu ứng dự kiến của DAI tập trung ở việc làm thoải nhánh đi xuống và đẩy điểm uốn về phía phải, tức một hiệu ứng uốn đường cong, khác về bản chất với hiệu ứng nâng mặt bằng của TCI. Tương ứng, H3 dự đoán một mẫu hệ số đối ngược với H2: số hạng tương tác DAI × FSTS² (hoặc DAI × FSTS) có ý nghĩa, biểu thị thay đổi độ cong hoặc độ dốc, trong khi hiệu ứng mức chính của DAI không nhất thiết mạnh. Cặp tiêu chí nhận dạng đối ngược này, hiệu ứng mức không kèm uốn cong cho H2 so với uốn cong không nhất thiết kèm hiệu ứng mức cho H3, khiến hai giả thuyết có thể phân biệt và bác bỏ độc lập trong khung tương tác, thay vì chỉ là hai cách diễn đạt cho cùng một hiệu ứng năng lực số. Tuy nhiên, vì cơ chế này phụ thuộc vào việc hạ tầng số có định hướng xuyên biên giới hay không, sức mạnh của hiệu ứng uốn được dự báo là phụ thuộc bối cảnh thể chế chứ không phổ quát, một dự đoán có điều kiện sẽ được kiểm chứng trong khung CDCM.</w:t>
      </w:r>
    </w:p>
    <w:bookmarkEnd w:id="76"/>
    <w:bookmarkStart w:id="77" w:name="X23e235aa1540adf65664378accbc0b6a13fdffd"/>
    <w:p>
      <w:pPr>
        <w:pStyle w:val="Heading3"/>
      </w:pPr>
      <w:r>
        <w:t xml:space="preserve">2.5.5 Giả thuyết H4: Điều tiết bởi đặc điểm nhà quản trị cấp cao</w:t>
      </w:r>
    </w:p>
    <w:p>
      <w:pPr>
        <w:pStyle w:val="FirstParagraph"/>
      </w:pPr>
      <w:r>
        <w:t xml:space="preserve">Dựa trên lý thuyết thượng tầng quản trị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 và hiệu quả (Phan, Do, &amp; Phan, 2020b; Phan et al., 2021; Do &amp; Phan, 2025).</w:t>
      </w:r>
    </w:p>
    <w:p>
      <w:pPr>
        <w:pStyle w:val="BodyText"/>
      </w:pPr>
      <w:r>
        <w:t xml:space="preserve">Cơ chế đứng sau H4 là vai trò của trường nhận thức quản trị: kinh nghiệm và sự đa dạng trong đội ngũ lãnh đạo cấp cao định hình cách doanh nghiệp diễn giải rủi ro và cơ hội quốc tế, qua đó điều tiết chất lượng của các quyết định quốc tế hóa thay vì tác động trực tiếp lên mức hiệu quả (Nielsen, 2010). Cần lưu ý rằng dự đoán về dấu của hiệu ứng giới tính phụ thuộc vào thước đo hiệu quả và thiết lập mô hình: khi đo bằng lợi nhuận và mô hình hóa như điều tiết độ dốc, hiệu ứng dự kiến là dương; khi đo bằng năng suất và ước lượng như hiệu ứng mức ở mẫu gộp đa quốc gia, hệ số có thể âm do chọn lọc cấu thành. Sự phụ thuộc thước đo và bối cảnh này được xử lý tường minh trong phần tổng hợp bằng chứng ở Chương 4 và Chương 5, nên H4 được khung lại như một giả thuyết về điều tiết chất lượng quyết định chứ không phải về một hiệu ứng mức phổ quát.</w:t>
      </w:r>
    </w:p>
    <w:bookmarkEnd w:id="77"/>
    <w:bookmarkStart w:id="78" w:name="X1090b4891c9abf48d7aab0f24d22e9d66d1b02d"/>
    <w:p>
      <w:pPr>
        <w:pStyle w:val="Heading3"/>
      </w:pPr>
      <w:r>
        <w:t xml:space="preserve">2.5.6 Giả thuyết H5: Điều tiết bởi bối cảnh thể chế (ICRV)</w:t>
      </w:r>
    </w:p>
    <w:p>
      <w:pPr>
        <w:pStyle w:val="FirstParagraph"/>
      </w:pPr>
      <w:r>
        <w:t xml:space="preserve">Trên cơ sở lý thuyết thể chế (North, 1990; Khanna &amp; Palepu, 2010), chất lượng thể chế tạo ra chi phí giao dịch và rủi ro khác nhau, do đó điều tiết đáng kể mối quan hệ quốc tế hóa và hiệu quả. Giả thuyết H5 được phát biểu như sau. Chất lượng thể chế theo khung ICRV điều tiết tác động của các rào cản thể chế lên hiệu quả hoạt động trong quá trình quốc tế hóa, với chỉ số chấp nhận số (DAI) đóng vai trò lá chắn số giúp bù đắp một phần khoảng trống thể chế; cường độ điều tiết này giảm dần theo phổ thể chế ICRV từ các nền kinh tế biên thể chế yếu (Nhóm V và VI, điều tiết mạnh nhất) đến các nền kinh tế tiên tiến (Nhóm I, điều tiết yếu nhất). Cơ sở lý thuyết bao gồm North (1990), Khanna và Palepu (2010), và Marano et al. (2016).</w:t>
      </w:r>
    </w:p>
    <w:p>
      <w:pPr>
        <w:pStyle w:val="BodyText"/>
      </w:pPr>
      <w:r>
        <w:t xml:space="preserve">Vì H5 là một mệnh đề xuyên cấp, trong đó một cấu trúc cấp quốc gia (chế độ ICRV) điều tiết một quan hệ ở cấp doanh nghiệp, cần nêu rõ kênh truyền dẫn từ tầng vĩ mô xuống tầng vi mô. Kênh đó là phần phụ trội chi phí giao dịch mà chất lượng thể chế áp lên mỗi giao dịch xuyên biên giới: ở chế độ thể chế yếu, chi phí tìm kiếm đối tác, thực thi hợp đồng và bảo vệ quyền sở hữu trong thương mại quốc tế cao hơn, và chính từng doanh nghiệp phải nội bộ hóa phần chi phí này khi mở rộng quốc tế, làm hao mòn năng suất lao động quan sát được ở cấp doanh nghiệp. Vì vậy biến thiên thể chế cấp quốc gia không tác động trừu tượng mà hiện hình thành một khoản phụ trội chi phí cấp giao dịch mà doanh nghiệp gánh chịu, qua đó dịch chuyển cả vị trí điểm uốn lẫn độ dốc của đường quan hệ ở cấp doanh nghiệp. Trên nền kênh truyền dẫn đó, cơ chế đứng sau H5 là sự thay thế giữa thể chế và năng lực: nơi thể chế nền yếu, mỗi đơn vị năng lực doanh nghiệp, đặc biệt là năng lực số, tạo ra khác biệt cạnh tranh lớn hơn vì nó bù đắp cho hạ tầng thể chế còn thiếu; nơi thể chế đã mạnh, biên đóng góp của cùng năng lực đó nhỏ hơn vì môi trường đã cung cấp phần lớn sự bảo đảm cần thiết cho giao dịch xuyên biên giới. Logic thay thế này hàm ý một dự đoán phổ thể chế có hướng: vai trò điều tiết của thể chế, và của lá chắn số gắn với nó, mạnh nhất ở biên dưới của phổ thể chế ICRV và yếu dần khi tiến lên biên trên. Đây chính là dự đoán định hướng mà luận án kiểm định bằng cả phân tích tổng hợp theo nhóm thể chế và ước lượng điểm uốn trong từng chế độ ICRV ở Chương 4.</w:t>
      </w:r>
    </w:p>
    <w:p>
      <w:pPr>
        <w:pStyle w:val="BodyText"/>
      </w:pPr>
      <w:r>
        <w:t xml:space="preserve">Một phản biện hiển nhiên đối với logic thay thế này là tính bổ trợ hạ tầng: chính những nền kinh tế có thể chế yếu nhất cũng thường có hạ tầng số kém phát triển nhất, nên có thể lập luận rằng lá chắn số phát huy tác dụng yếu nhất chứ không phải mạnh nhất ở biên dưới của phổ thể chế. Luận án giải quyết căng thẳng giữa thay thế và bổ trợ này bằng cách lưu ý rằng thành phần DAI được vận hành hóa ở tầng nền tảng nhất (sự hiện diện web và giao dịch số cơ bản), tức loại công cụ ít đòi hỏi hạ tầng dày nhất và vẫn khả thi trên hạ tầng mỏng; ở tầng này, lợi ích chủ yếu đến từ việc hạ chi phí tìm kiếm và thông tin trong trao đổi xuyên biên giới, vốn chính là những chi phí mà khoảng trống thể chế khuếch đại. Vì vậy cơ chế thay thế được dự báo trội hơn cơ chế bổ trợ trong dải năng lực số nền tảng mà luận án đo lường; song chính sự phụ thuộc tầng đo lường này hàm ý rằng hiệu ứng lá chắn có thể đảo chiều ở các tầng số đòi hỏi hạ tầng cao hơn, một ranh giới phạm vi áp dụng được thừa nhận tường minh và sẽ được nối lại trong phần hạn chế đo lường DAI ở Chương 5.</w:t>
      </w:r>
    </w:p>
    <w:bookmarkEnd w:id="78"/>
    <w:bookmarkStart w:id="79" w:name="X8b9587988b635c8582ee20f72207ba35b82be6a"/>
    <w:p>
      <w:pPr>
        <w:pStyle w:val="Heading3"/>
      </w:pPr>
      <w:r>
        <w:t xml:space="preserve">2.5.7 Giả thuyết H6: Dị biệt thời gian trong quan hệ quốc tế hóa và hiệu quả</w:t>
      </w:r>
    </w:p>
    <w:p>
      <w:pPr>
        <w:pStyle w:val="FirstParagraph"/>
      </w:pPr>
      <w:r>
        <w:t xml:space="preserve">Dựa trên quan sát về tốc độ chuyển đổi số và thay đổi thể chế rất nhanh ở một số nền kinh tế châu Á, đặc biệt Trung Quốc, quan hệ quốc tế hóa và hiệu quả không nhất thiết ổn định theo thời gian. Giả thuyết H6 được phát biểu như sau. Hình dạng phi tuyến của quan hệ, cụ thể là vị trí của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w:t>
      </w:r>
    </w:p>
    <w:p>
      <w:pPr>
        <w:pStyle w:val="BodyText"/>
      </w:pPr>
      <w:r>
        <w:t xml:space="preserve">Việc kiểm định H6 đòi hỏi phân biệt hai khả năng đối lập về mặt lý thuyết: dịch chuyển ngưỡng do trưởng thành năng lực và thể chế (một quá trình tiệm tiến, có trật tự) so với mất cấu trúc ngưỡng do biến động thể chế tích lũy (một quá trình phá vỡ cấu trúc). Bằng chứng từ hai bối cảnh tương phản trong luận án phục vụ chính sự phân biệt này. Tại Trung Quốc, nghiên cứu thành phần P5 cho thấy điểm uốn ổn định tương đối giữa 2012 và 2024 (kiểm định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bác bỏ tính bằng nhau), nhất quán với một quá trình trưởng thành có trật tự. Ngược lại, bằng chứng Ấn Độ (P9) cho thấy ngưỡng có thể mất cấu trúc dưới một chuỗi cú sốc thể chế dồn dập. Đặt cạnh nhau, hai trường hợp này tinh chỉnh H6 thành một mệnh đề có điều kiện: dị biệt thời gian của quan hệ là hàm của tốc độ và biên độ thay đổi thể chế tích lũy, chứ không phải một xu hướng đơn điệu theo thời gian.</w:t>
      </w:r>
    </w:p>
    <w:bookmarkEnd w:id="79"/>
    <w:bookmarkStart w:id="80" w:name="tổng-hợp-hệ-giả-thuyết"/>
    <w:p>
      <w:pPr>
        <w:pStyle w:val="Heading3"/>
      </w:pPr>
      <w:r>
        <w:t xml:space="preserve">2.5.8 Tổng hợp hệ giả thuyết</w:t>
      </w:r>
    </w:p>
    <w:p>
      <w:pPr>
        <w:pStyle w:val="FirstParagraph"/>
      </w:pPr>
      <w:r>
        <w:t xml:space="preserve">Bảy giả thuyết nêu trên được tổng hợp trong Bảng 2.1, làm rõ với mỗi giả thuyết bốn yếu tố: phát biểu tóm tắt, dấu kỳ vọng của hệ số, cơ sở lý thuyết nền và biến đo lường cùng kiểm định tương ứng. Cách trình bày này bảo đảm mỗi giả thuyết đều được suy ra từ lý thuyết (không phải rút ra từ quan sát thực nghiệm) và đều gắn với một thao tác kiểm định cụ thể trong Chương 3 và Chương 4. Ba giả thuyết điều tiết H2, H3, H5 cùng vận hành trên một đường quan hệ chính (H1), tương ứng ba tầng của khung CDCM; H1b là điều kiện biên của H1 tại nhóm thể chế yếu nhất; H4 và H6 bổ sung tầng cá nhân và chiều thời gian.</w:t>
      </w:r>
    </w:p>
    <w:p>
      <w:pPr>
        <w:pStyle w:val="BodyText"/>
      </w:pPr>
      <w:r>
        <w:rPr>
          <w:bCs/>
          <w:b/>
        </w:rPr>
        <w:t xml:space="preserve">Bảng 2.1.</w:t>
      </w:r>
      <w:r>
        <w:t xml:space="preserve"> </w:t>
      </w:r>
      <w:r>
        <w:rPr>
          <w:iCs/>
          <w:i/>
        </w:rPr>
        <w:t xml:space="preserve">Tổng hợp hệ giả thuyết nghiên cứu: phát biểu, dấu kỳ vọng, cơ sở lý thuyết và biến kiểm định.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Giả thuyết</w:t>
            </w:r>
          </w:p>
        </w:tc>
        <w:tc>
          <w:tcPr/>
          <w:p>
            <w:pPr>
              <w:pStyle w:val="Compact"/>
              <w:jc w:val="left"/>
            </w:pPr>
            <w:r>
              <w:t xml:space="preserve">Phát biểu tóm tắt</w:t>
            </w:r>
          </w:p>
        </w:tc>
        <w:tc>
          <w:tcPr/>
          <w:p>
            <w:pPr>
              <w:pStyle w:val="Compact"/>
              <w:jc w:val="left"/>
            </w:pPr>
            <w:r>
              <w:t xml:space="preserve">Dấu kỳ vọng</w:t>
            </w:r>
          </w:p>
        </w:tc>
        <w:tc>
          <w:tcPr/>
          <w:p>
            <w:pPr>
              <w:pStyle w:val="Compact"/>
              <w:jc w:val="left"/>
            </w:pPr>
            <w:r>
              <w:t xml:space="preserve">Cơ sở lý thuyết</w:t>
            </w:r>
          </w:p>
        </w:tc>
        <w:tc>
          <w:tcPr/>
          <w:p>
            <w:pPr>
              <w:pStyle w:val="Compact"/>
              <w:jc w:val="left"/>
            </w:pPr>
            <w:r>
              <w:t xml:space="preserve">Biến / kiểm định</w:t>
            </w:r>
          </w:p>
        </w:tc>
      </w:tr>
      <w:tr>
        <w:tc>
          <w:tcPr/>
          <w:p>
            <w:pPr>
              <w:pStyle w:val="Compact"/>
              <w:jc w:val="left"/>
            </w:pPr>
            <w:r>
              <w:rPr>
                <w:bCs/>
                <w:b/>
              </w:rPr>
              <w:t xml:space="preserve">H1</w:t>
            </w:r>
          </w:p>
        </w:tc>
        <w:tc>
          <w:tcPr/>
          <w:p>
            <w:pPr>
              <w:pStyle w:val="Compact"/>
              <w:jc w:val="left"/>
            </w:pPr>
            <w:r>
              <w:t xml:space="preserve">Quan hệ quốc tế hóa và hiệu quả có dạng phi tuyến chữ U ngược</w:t>
            </w:r>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Mô hình Uppsala; Lu và Beamish (2004)</w:t>
            </w:r>
          </w:p>
        </w:tc>
        <w:tc>
          <w:tcPr/>
          <w:p>
            <w:pPr>
              <w:pStyle w:val="Compact"/>
              <w:jc w:val="left"/>
            </w:pPr>
            <w:r>
              <w:t xml:space="preserve">FSTS, FSTS²; kiểm định Lind–Mehlum</w:t>
            </w:r>
          </w:p>
        </w:tc>
      </w:tr>
      <w:tr>
        <w:tc>
          <w:tcPr/>
          <w:p>
            <w:pPr>
              <w:pStyle w:val="Compact"/>
              <w:jc w:val="left"/>
            </w:pPr>
            <w:r>
              <w:rPr>
                <w:bCs/>
                <w:b/>
              </w:rPr>
              <w:t xml:space="preserve">H1b</w:t>
            </w:r>
          </w:p>
        </w:tc>
        <w:tc>
          <w:tcPr/>
          <w:p>
            <w:pPr>
              <w:pStyle w:val="Compact"/>
              <w:jc w:val="left"/>
            </w:pPr>
            <w:r>
              <w:t xml:space="preserve">Tại nhóm SIDS (ICRV VI), quan hệ âm đơn điệu, không điểm uốn (gánh nặng quốc tế hóa bắt buộc, FIP)</w:t>
            </w:r>
          </w:p>
        </w:tc>
        <w:tc>
          <w:tcPr/>
          <w:p>
            <w:pPr>
              <w:pStyle w:val="Compact"/>
              <w:jc w:val="left"/>
            </w:pPr>
            <m:oMath>
              <m:r>
                <m:t>β</m:t>
              </m:r>
              <m:d>
                <m:dPr>
                  <m:begChr m:val="("/>
                  <m:endChr m:val=")"/>
                  <m:sepChr m:val=""/>
                  <m:grow/>
                </m:dPr>
                <m:e>
                  <m:r>
                    <m:rPr>
                      <m:nor/>
                      <m:sty m:val="p"/>
                    </m:rPr>
                    <m:t>FSTS</m:t>
                  </m:r>
                </m:e>
              </m:d>
              <m:r>
                <m:rPr>
                  <m:sty m:val="p"/>
                </m:rPr>
                <m:t>&lt;</m:t>
              </m:r>
              <m:r>
                <m:t>0</m:t>
              </m:r>
            </m:oMath>
          </w:p>
        </w:tc>
        <w:tc>
          <w:tcPr/>
          <w:p>
            <w:pPr>
              <w:pStyle w:val="Compact"/>
              <w:jc w:val="left"/>
            </w:pPr>
            <w:r>
              <w:t xml:space="preserve">Lý thuyết thể chế (North, 1990); chi phí giao dịch (Williamson, 1985); Briguglio (1995)</w:t>
            </w:r>
          </w:p>
        </w:tc>
        <w:tc>
          <w:tcPr/>
          <w:p>
            <w:pPr>
              <w:pStyle w:val="Compact"/>
              <w:jc w:val="left"/>
            </w:pPr>
            <w:r>
              <w:t xml:space="preserve">FSTS trên mẫu SIDS; kiểm tra không tồn tại điểm uốn</w:t>
            </w:r>
          </w:p>
        </w:tc>
      </w:tr>
      <w:tr>
        <w:tc>
          <w:tcPr/>
          <w:p>
            <w:pPr>
              <w:pStyle w:val="Compact"/>
              <w:jc w:val="left"/>
            </w:pPr>
            <w:r>
              <w:rPr>
                <w:bCs/>
                <w:b/>
              </w:rPr>
              <w:t xml:space="preserve">H2</w:t>
            </w:r>
          </w:p>
        </w:tc>
        <w:tc>
          <w:tcPr/>
          <w:p>
            <w:pPr>
              <w:pStyle w:val="Compact"/>
              <w:jc w:val="left"/>
            </w:pPr>
            <w:r>
              <w:t xml:space="preserve">Năng lực công nghệ (TCI) điều tiết dương, nâng mặt bằng hiệu quả và có thể dịch chuyển điểm uốn</w:t>
            </w:r>
          </w:p>
        </w:tc>
        <w:tc>
          <w:tcPr/>
          <w:p>
            <w:pPr>
              <w:pStyle w:val="Compact"/>
              <w:jc w:val="left"/>
            </w:pPr>
            <m:oMath>
              <m:r>
                <m:rPr>
                  <m:sty m:val="p"/>
                </m:rPr>
                <m:t>+</m:t>
              </m:r>
            </m:oMath>
          </w:p>
        </w:tc>
        <w:tc>
          <w:tcPr/>
          <w:p>
            <w:pPr>
              <w:pStyle w:val="Compact"/>
              <w:jc w:val="left"/>
            </w:pPr>
            <w:r>
              <w:t xml:space="preserve">Lý thuyết dựa trên nguồn lực (Barney, 1991); năng lực động (Teece et al., 1997)</w:t>
            </w:r>
          </w:p>
        </w:tc>
        <w:tc>
          <w:tcPr/>
          <w:p>
            <w:pPr>
              <w:pStyle w:val="Compact"/>
              <w:jc w:val="left"/>
            </w:pPr>
            <w:r>
              <w:t xml:space="preserve">TCI; TCI × FSTS; TCI × FSTS²</w:t>
            </w:r>
          </w:p>
        </w:tc>
      </w:tr>
      <w:tr>
        <w:tc>
          <w:tcPr/>
          <w:p>
            <w:pPr>
              <w:pStyle w:val="Compact"/>
              <w:jc w:val="left"/>
            </w:pPr>
            <w:r>
              <w:rPr>
                <w:bCs/>
                <w:b/>
              </w:rPr>
              <w:t xml:space="preserve">H3</w:t>
            </w:r>
          </w:p>
        </w:tc>
        <w:tc>
          <w:tcPr/>
          <w:p>
            <w:pPr>
              <w:pStyle w:val="Compact"/>
              <w:jc w:val="left"/>
            </w:pPr>
            <w:r>
              <w:t xml:space="preserve">Chấp nhận số (DAI) điều tiết, uốn đường cong rõ hơn ở cường độ xuất khẩu cao (giảm chi phí phối hợp)</w:t>
            </w:r>
          </w:p>
        </w:tc>
        <w:tc>
          <w:tcPr/>
          <w:p>
            <w:pPr>
              <w:pStyle w:val="Compact"/>
              <w:jc w:val="left"/>
            </w:pPr>
            <m:oMath>
              <m:r>
                <m:rPr>
                  <m:sty m:val="p"/>
                </m:rPr>
                <m:t>+</m:t>
              </m:r>
            </m:oMath>
            <w:r>
              <w:t xml:space="preserve"> </w:t>
            </w:r>
            <w:r>
              <w:t xml:space="preserve">(đổi độ dốc)</w:t>
            </w:r>
          </w:p>
        </w:tc>
        <w:tc>
          <w:tcPr/>
          <w:p>
            <w:pPr>
              <w:pStyle w:val="Compact"/>
              <w:jc w:val="left"/>
            </w:pPr>
            <w:r>
              <w:t xml:space="preserve">Verhoef et al. (2021); Stallkamp và Schotter (2021); Banalieva và Dhanaraj (2019)</w:t>
            </w:r>
          </w:p>
        </w:tc>
        <w:tc>
          <w:tcPr/>
          <w:p>
            <w:pPr>
              <w:pStyle w:val="Compact"/>
              <w:jc w:val="left"/>
            </w:pPr>
            <w:r>
              <w:t xml:space="preserve">DAI; DAI × FSTS; DAI × FSTS²</w:t>
            </w:r>
          </w:p>
        </w:tc>
      </w:tr>
      <w:tr>
        <w:tc>
          <w:tcPr/>
          <w:p>
            <w:pPr>
              <w:pStyle w:val="Compact"/>
              <w:jc w:val="left"/>
            </w:pPr>
            <w:r>
              <w:rPr>
                <w:bCs/>
                <w:b/>
              </w:rPr>
              <w:t xml:space="preserve">H4</w:t>
            </w:r>
          </w:p>
        </w:tc>
        <w:tc>
          <w:tcPr/>
          <w:p>
            <w:pPr>
              <w:pStyle w:val="Compact"/>
              <w:jc w:val="left"/>
            </w:pPr>
            <w:r>
              <w:t xml:space="preserve">Kinh nghiệm và giới tính nữ của nhà quản trị cấp cao điều tiết dương quan hệ quốc tế hóa và hiệu quả</w:t>
            </w:r>
          </w:p>
        </w:tc>
        <w:tc>
          <w:tcPr/>
          <w:p>
            <w:pPr>
              <w:pStyle w:val="Compact"/>
              <w:jc w:val="left"/>
            </w:pPr>
            <m:oMath>
              <m:r>
                <m:rPr>
                  <m:sty m:val="p"/>
                </m:rPr>
                <m:t>+</m:t>
              </m:r>
            </m:oMath>
            <w:r>
              <w:t xml:space="preserve"> </w:t>
            </w:r>
            <w:r>
              <w:t xml:space="preserve">(điều tiết độ dốc); dấu của giới tính nữ có thể đảo ở thước đo năng suất do chọn lọc cấu thành (xem Mục 2.5.5)</w:t>
            </w:r>
          </w:p>
        </w:tc>
        <w:tc>
          <w:tcPr/>
          <w:p>
            <w:pPr>
              <w:pStyle w:val="Compact"/>
              <w:jc w:val="left"/>
            </w:pPr>
            <w:r>
              <w:t xml:space="preserve">Lý thuyết thượng tầng quản trị (Hambrick và Mason, 1984); Post và Byron (2015)</w:t>
            </w:r>
          </w:p>
        </w:tc>
        <w:tc>
          <w:tcPr/>
          <w:p>
            <w:pPr>
              <w:pStyle w:val="Compact"/>
              <w:jc w:val="left"/>
            </w:pPr>
            <w:r>
              <w:t xml:space="preserve">Kinh nghiệm, giới tính × FSTS</w:t>
            </w:r>
          </w:p>
        </w:tc>
      </w:tr>
      <w:tr>
        <w:tc>
          <w:tcPr/>
          <w:p>
            <w:pPr>
              <w:pStyle w:val="Compact"/>
              <w:jc w:val="left"/>
            </w:pPr>
            <w:r>
              <w:rPr>
                <w:bCs/>
                <w:b/>
              </w:rPr>
              <w:t xml:space="preserve">H5</w:t>
            </w:r>
          </w:p>
        </w:tc>
        <w:tc>
          <w:tcPr/>
          <w:p>
            <w:pPr>
              <w:pStyle w:val="Compact"/>
              <w:jc w:val="left"/>
            </w:pPr>
            <w:r>
              <w:t xml:space="preserve">Chất lượng thể chế (phổ thể chế ICRV) điều tiết; tác động mạnh nhất ở nhóm thể chế yếu, giảm dần đến nhóm tiên tiến</w:t>
            </w:r>
          </w:p>
        </w:tc>
        <w:tc>
          <w:tcPr/>
          <w:p>
            <w:pPr>
              <w:pStyle w:val="Compact"/>
              <w:jc w:val="left"/>
            </w:pPr>
            <m:oMath>
              <m:r>
                <m:rPr>
                  <m:sty m:val="p"/>
                </m:rPr>
                <m:t>+</m:t>
              </m:r>
              <m:r>
                <m:rPr>
                  <m:sty m:val="p"/>
                </m:rPr>
                <m:t>/</m:t>
              </m:r>
              <m:r>
                <m:rPr>
                  <m:sty m:val="p"/>
                </m:rPr>
                <m:t>−</m:t>
              </m:r>
            </m:oMath>
            <w:r>
              <w:t xml:space="preserve"> </w:t>
            </w:r>
            <w:r>
              <w:t xml:space="preserve">theo phổ thể chế</w:t>
            </w:r>
          </w:p>
        </w:tc>
        <w:tc>
          <w:tcPr/>
          <w:p>
            <w:pPr>
              <w:pStyle w:val="Compact"/>
              <w:jc w:val="left"/>
            </w:pPr>
            <w:r>
              <w:t xml:space="preserve">Lý thuyết thể chế (North, 1990; Khanna và Palepu, 2010); Marano et al. (2016)</w:t>
            </w:r>
          </w:p>
        </w:tc>
        <w:tc>
          <w:tcPr/>
          <w:p>
            <w:pPr>
              <w:pStyle w:val="Compact"/>
              <w:jc w:val="left"/>
            </w:pPr>
            <w:r>
              <w:t xml:space="preserve">ICRV × FSTS; ICRV × FSTS²</w:t>
            </w:r>
          </w:p>
        </w:tc>
      </w:tr>
      <w:tr>
        <w:tc>
          <w:tcPr/>
          <w:p>
            <w:pPr>
              <w:pStyle w:val="Compact"/>
              <w:jc w:val="left"/>
            </w:pPr>
            <w:r>
              <w:rPr>
                <w:bCs/>
                <w:b/>
              </w:rPr>
              <w:t xml:space="preserve">H6</w:t>
            </w:r>
          </w:p>
        </w:tc>
        <w:tc>
          <w:tcPr/>
          <w:p>
            <w:pPr>
              <w:pStyle w:val="Compact"/>
              <w:jc w:val="left"/>
            </w:pPr>
            <w:r>
              <w:t xml:space="preserve">Dạng hàm (vị trí điểm uốn, độ cong) dịch chuyển theo thời gian ở nền kinh tế chuyển đổi nhanh</w:t>
            </w:r>
          </w:p>
        </w:tc>
        <w:tc>
          <w:tcPr/>
          <w:p>
            <w:pPr>
              <w:pStyle w:val="Compact"/>
              <w:jc w:val="left"/>
            </w:pPr>
            <w:r>
              <w:t xml:space="preserve">Thay đổi theo thời gian</w:t>
            </w:r>
          </w:p>
        </w:tc>
        <w:tc>
          <w:tcPr/>
          <w:p>
            <w:pPr>
              <w:pStyle w:val="Compact"/>
              <w:jc w:val="left"/>
            </w:pPr>
            <w:r>
              <w:t xml:space="preserve">Wu et al. (2022); Xiao et al. (2013); Banalieva và Dhanaraj (2019)</w:t>
            </w:r>
          </w:p>
        </w:tc>
        <w:tc>
          <w:tcPr/>
          <w:p>
            <w:pPr>
              <w:pStyle w:val="Compact"/>
              <w:jc w:val="left"/>
            </w:pPr>
            <w:r>
              <w:t xml:space="preserve">So sánh đa đợt khảo sát; kiểm định Paternoster</w:t>
            </w:r>
          </w:p>
        </w:tc>
      </w:tr>
    </w:tbl>
    <w:p>
      <w:pPr>
        <w:pStyle w:val="BodyText"/>
      </w:pPr>
      <w:r>
        <w:rPr>
          <w:iCs/>
          <w:i/>
        </w:rPr>
        <w:t xml:space="preserve">Ghi chú: FSTS = tỷ lệ doanh thu nước ngoài trên tổng doanh thu (cường độ xuất khẩu); TCI = chỉ số năng lực công nghệ; DAI = chỉ số chấp nhận số; ICRV = khung phân loại chế độ bối cảnh thể chế sáu nhóm; FIP = gánh nặng quốc tế hóa bắt buộc. Dấu kỳ vọng tham chiếu hệ số của số hạng tương tác tương ứng. Nguồn: tác giả tổng hợp.</w:t>
      </w:r>
    </w:p>
    <w:p>
      <w:r>
        <w:pict>
          <v:rect style="width:0;height:1.5pt" o:hralign="center" o:hrstd="t" o:hr="t"/>
        </w:pict>
      </w:r>
    </w:p>
    <w:bookmarkEnd w:id="80"/>
    <w:bookmarkStart w:id="81" w:name="Xf335a697a9ee7a16b4b110396196a58c357e907"/>
    <w:p>
      <w:pPr>
        <w:pStyle w:val="Heading3"/>
      </w:pPr>
      <w:r>
        <w:t xml:space="preserve">2.5.9 Ánh xạ giả thuyết và các nghiên cứu thành phần</w:t>
      </w:r>
    </w:p>
    <w:p>
      <w:pPr>
        <w:pStyle w:val="FirstParagraph"/>
      </w:pPr>
      <w:r>
        <w:t xml:space="preserve">Luận án được phát triển gắn với một chuỗi nghiên cứu thành phần (ký hiệu P1–P10 và một chương sách), mỗi nghiên cứu kiểm định một phần của hệ giả thuyết H1–H6 và điều kiện biên H1b trong một bối cảnh thể chế cụ thể. Bảng 2.2 ánh xạ các nghiên cứu thành phần với mục trình bày kết quả và các giả thuyết tương ứng.</w:t>
      </w:r>
    </w:p>
    <w:p>
      <w:pPr>
        <w:pStyle w:val="BodyText"/>
      </w:pPr>
      <w:r>
        <w:rPr>
          <w:bCs/>
          <w:b/>
        </w:rPr>
        <w:t xml:space="preserve">Bảng 2.2.</w:t>
      </w:r>
      <w:r>
        <w:t xml:space="preserve"> </w:t>
      </w:r>
      <w:r>
        <w:rPr>
          <w:iCs/>
          <w:i/>
        </w:rPr>
        <w:t xml:space="preserve">Ánh xạ nghiên cứu thành phần, mục trình bày,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 Cơ sở đa quốc gia (17 nền kinh tế)</w:t>
            </w:r>
          </w:p>
        </w:tc>
        <w:tc>
          <w:tcPr/>
          <w:p>
            <w:pPr>
              <w:pStyle w:val="Compact"/>
              <w:jc w:val="left"/>
            </w:pPr>
            <w:r>
              <w:t xml:space="preserve">Châu Á (đa nhóm)</w:t>
            </w:r>
          </w:p>
        </w:tc>
        <w:tc>
          <w:tcPr/>
          <w:p>
            <w:pPr>
              <w:pStyle w:val="Compact"/>
              <w:jc w:val="left"/>
            </w:pPr>
            <w:r>
              <w:t xml:space="preserve">Mục 2.3.3; Mục 4.1.7</w:t>
            </w:r>
          </w:p>
        </w:tc>
        <w:tc>
          <w:tcPr/>
          <w:p>
            <w:pPr>
              <w:pStyle w:val="Compact"/>
              <w:jc w:val="left"/>
            </w:pPr>
            <w:r>
              <w:t xml:space="preserve">Nền tảng cho H1, H2, H5</w:t>
            </w:r>
          </w:p>
        </w:tc>
      </w:tr>
      <w:tr>
        <w:tc>
          <w:tcPr/>
          <w:p>
            <w:pPr>
              <w:pStyle w:val="Compact"/>
              <w:jc w:val="left"/>
            </w:pPr>
            <w:r>
              <w:t xml:space="preserve">P2: Doanh nghiệp nhỏ và vừa Trung Quốc</w:t>
            </w:r>
          </w:p>
        </w:tc>
        <w:tc>
          <w:tcPr/>
          <w:p>
            <w:pPr>
              <w:pStyle w:val="Compact"/>
              <w:jc w:val="left"/>
            </w:pPr>
            <w:r>
              <w:t xml:space="preserve">Trung bình cao (Nhóm III)</w:t>
            </w:r>
          </w:p>
        </w:tc>
        <w:tc>
          <w:tcPr/>
          <w:p>
            <w:pPr>
              <w:pStyle w:val="Compact"/>
              <w:jc w:val="left"/>
            </w:pPr>
            <w:r>
              <w:t xml:space="preserve">Mục 2.3.3; Mục 4.4.8</w:t>
            </w:r>
          </w:p>
        </w:tc>
        <w:tc>
          <w:tcPr/>
          <w:p>
            <w:pPr>
              <w:pStyle w:val="Compact"/>
              <w:jc w:val="left"/>
            </w:pPr>
            <w:r>
              <w:t xml:space="preserve">Nền tảng cho H1</w:t>
            </w:r>
          </w:p>
        </w:tc>
      </w:tr>
      <w:tr>
        <w:tc>
          <w:tcPr/>
          <w:p>
            <w:pPr>
              <w:pStyle w:val="Compact"/>
              <w:jc w:val="left"/>
            </w:pPr>
            <w:r>
              <w:t xml:space="preserve">P3: Việt Nam</w:t>
            </w:r>
          </w:p>
        </w:tc>
        <w:tc>
          <w:tcPr/>
          <w:p>
            <w:pPr>
              <w:pStyle w:val="Compact"/>
              <w:jc w:val="left"/>
            </w:pPr>
            <w:r>
              <w:t xml:space="preserve">Chuyển đổi thu nhập trung bình thấp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Tiên tiến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Trung bình cao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Phân tích tổng hợp ba tầng</w:t>
            </w:r>
          </w:p>
        </w:tc>
        <w:tc>
          <w:tcPr/>
          <w:p>
            <w:pPr>
              <w:pStyle w:val="Compact"/>
              <w:jc w:val="left"/>
            </w:pPr>
            <w:r>
              <w:t xml:space="preserve">Toàn bộ tài liệu toàn cầu (49 nền)</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Toàn mẫu đa quốc gia (50 nền kinh tế)</w:t>
            </w:r>
          </w:p>
        </w:tc>
        <w:tc>
          <w:tcPr/>
          <w:p>
            <w:pPr>
              <w:pStyle w:val="Compact"/>
              <w:jc w:val="left"/>
            </w:pPr>
            <w:r>
              <w:t xml:space="preserve">Toàn bộ phổ thể chế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Đảo nhỏ Thái Bình Dương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Chuyển đổi thu nhập trung bình thấp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Tiên tiến đổi mới (Nhóm I)</w:t>
            </w:r>
          </w:p>
        </w:tc>
        <w:tc>
          <w:tcPr/>
          <w:p>
            <w:pPr>
              <w:pStyle w:val="Compact"/>
              <w:jc w:val="left"/>
            </w:pPr>
            <w:r>
              <w:t xml:space="preserve">Mục 4.1.5; Mục 4.9</w:t>
            </w:r>
          </w:p>
        </w:tc>
        <w:tc>
          <w:tcPr/>
          <w:p>
            <w:pPr>
              <w:pStyle w:val="Compact"/>
              <w:jc w:val="left"/>
            </w:pPr>
            <w:r>
              <w:t xml:space="preserve">H1 (dự đoán biên trên: gần tuyến tính)</w:t>
            </w:r>
          </w:p>
        </w:tc>
      </w:tr>
      <w:tr>
        <w:tc>
          <w:tcPr/>
          <w:p>
            <w:pPr>
              <w:pStyle w:val="Compact"/>
              <w:jc w:val="left"/>
            </w:pPr>
            <w:r>
              <w:t xml:space="preserve">Chương sách: Ấn Độ, quản trị cấp cao</w:t>
            </w:r>
          </w:p>
        </w:tc>
        <w:tc>
          <w:tcPr/>
          <w:p>
            <w:pPr>
              <w:pStyle w:val="Compact"/>
              <w:jc w:val="left"/>
            </w:pPr>
            <w:r>
              <w:t xml:space="preserve">Chuyển đổi thu nhập trung bình thấp (Nhóm IV)</w:t>
            </w:r>
          </w:p>
        </w:tc>
        <w:tc>
          <w:tcPr/>
          <w:p>
            <w:pPr>
              <w:pStyle w:val="Compact"/>
              <w:jc w:val="left"/>
            </w:pPr>
            <w:r>
              <w:t xml:space="preserve">Mục 4.8.4</w:t>
            </w:r>
          </w:p>
        </w:tc>
        <w:tc>
          <w:tcPr/>
          <w:p>
            <w:pPr>
              <w:pStyle w:val="Compact"/>
              <w:jc w:val="left"/>
            </w:pPr>
            <w:r>
              <w:t xml:space="preserve">H4 (điều tiết bởi đặc trưng quản trị)</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phổ thể chế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81"/>
    <w:bookmarkEnd w:id="82"/>
    <w:bookmarkStart w:id="83"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chủ yếu bằng năng suất lao động), năng lực công nghệ (TCI) và chỉ số chấp nhận số (DAI) như hai cấu trúc độc lập, và bối cảnh thể chế được vận hành hóa bằng khung ICRV sáu nhóm. Phần lý thuyết nền trình bày và phân tích bốn lý thuyết kinh điển, gồm mô hình Uppsala, lý thuyết dựa trên nguồn lực, lý thuyết thể chế và lý thuyết thượng tầng quản trị, cùng với lớp mở rộng lăng kính năng lực số, xác định vai trò của từng lý thuyết trong khung giải thích tổng thể của luận án. Điểm nhấn lý thuyết là lập luận rằng năm lớp này bổ sung cho nhau theo cấp độ phân tích, từ chi phí học hỏi, khác biệt năng lực, bối cảnh thể chế, đặc điểm người ra quyết định, đến logic số, và do đó cần được tích hợp thay vì lựa chọn loại trừ.</w:t>
      </w:r>
    </w:p>
    <w:p>
      <w:pPr>
        <w:pStyle w:val="BodyText"/>
      </w:pPr>
      <w:r>
        <w:t xml:space="preserve">Tổng quan thực nghiệm cho thấy tài liệu về quan hệ quốc tế hóa và hiệu quả đã phát triển qua ba giai đoạn, từ tuyến tính dương đến phi tuyến đến tập trung vào các biến điều tiết; các phân tích tổng hợp nhất quán cho thấy tác động gộp là dương nhưng nhỏ với mức dị biệt cao (</w:t>
      </w:r>
      <m:oMath>
        <m:sSup>
          <m:e>
            <m:r>
              <m:t>I</m:t>
            </m:r>
          </m:e>
          <m:sup>
            <m:r>
              <m:t>2</m:t>
            </m:r>
          </m:sup>
        </m:sSup>
      </m:oMath>
      <w:r>
        <w:t xml:space="preserve"> </w:t>
      </w:r>
      <w:r>
        <w:t xml:space="preserve">trên 80% ở các tổng hợp trước,</w:t>
      </w:r>
      <w:r>
        <w:t xml:space="preserve"> </w:t>
      </w:r>
      <m:oMath>
        <m:r>
          <m:t>62</m:t>
        </m:r>
        <m:r>
          <m:rPr>
            <m:sty m:val="p"/>
          </m:rPr>
          <m:t>,</m:t>
        </m:r>
        <m:r>
          <m:t>4</m:t>
        </m:r>
        <m:r>
          <m:rPr>
            <m:sty m:val="p"/>
          </m:rPr>
          <m:t>%</m:t>
        </m:r>
      </m:oMath>
      <w:r>
        <w:t xml:space="preserve"> </w:t>
      </w:r>
      <w:r>
        <w:t xml:space="preserve">ở phân tích tổng hợp cập nhật P6), đòi hỏi cách tiếp cận lấy biến điều tiết làm trung tâm; và bối cảnh châu Á, đặc biệt là các nền kinh tế biên thể chế yếu và các nền đảo nhỏ, đang thiếu đại diện nghiêm trọng trong tài liệu. Phần này cũng ghi nhận làn sóng nhân rộng quy mô lớn gần đây vốn đặt câu hỏi về tính phổ quát của dạng hàm, qua đó củng cố luận điểm rằng chính dị biệt bối cảnh, chứ không phải một quy luật hàm phổ quát, mới chi phối kết quả.</w:t>
      </w:r>
    </w:p>
    <w:p>
      <w:pPr>
        <w:pStyle w:val="BodyText"/>
      </w:pPr>
      <w:r>
        <w:t xml:space="preserve">Ba khoảng trống được xác định: thiếu khung tích hợp đa tầng, sự đồng nhất không hợp lý giữa TCI và DAI, và thiếu bằng chứng đa quốc gia quy mô lớn có cấu trúc cho châu Á. Để lấp đầy ba khoảng trống này, luận án đề xuất khung CDCM và phát triển sáu giả thuyết trọng tâm (H1 đến H6) cùng điều kiện biên H1b, bao phủ phi tuyến cơ bản, vai trò của TCI và DAI, vai trò của đặc điểm nhà quản trị, vai trò của thể chế ICRV, và dị biệt thời gian. Mỗi giả thuyết được neo vào một hoặc nhiều nghiên cứu thành phần và một bối cảnh thể chế cụ thể, như Bảng 2.2 trình bày, để bảo đảm rằng khung lý thuyết được kiểm định trên toàn bộ phổ thể chế của khu vực chứ không chỉ ở một bối cảnh đơn lẻ. Chương 3 sẽ trình bày thiết kế phương pháp và chiến lược kiểm định hệ giả thuyết này.</w:t>
      </w:r>
    </w:p>
    <w:p>
      <w:r>
        <w:br w:type="page"/>
      </w:r>
    </w:p>
    <w:bookmarkEnd w:id="83"/>
    <w:bookmarkEnd w:id="84"/>
    <w:bookmarkStart w:id="85" w:name="chương-3-phương-pháp-nghiên-cứu"/>
    <w:p>
      <w:pPr>
        <w:pStyle w:val="Heading1"/>
      </w:pPr>
      <w:r>
        <w:t xml:space="preserve">CHƯƠNG 3: PHƯƠNG PHÁP NGHIÊN CỨU</w:t>
      </w:r>
    </w:p>
    <w:bookmarkEnd w:id="85"/>
    <w:p>
      <w:r>
        <w:pict>
          <v:rect style="width:0;height:1.5pt" o:hralign="center" o:hrstd="t" o:hr="t"/>
        </w:pict>
      </w:r>
    </w:p>
    <w:bookmarkStart w:id="91" w:name="thiết-kế-nghiên-cứu-tổng-thể"/>
    <w:p>
      <w:pPr>
        <w:pStyle w:val="Heading2"/>
      </w:pPr>
      <w:r>
        <w:t xml:space="preserve">3.1 Thiết kế nghiên cứu tổng thể</w:t>
      </w:r>
    </w:p>
    <w:bookmarkStart w:id="86"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hỗn hợp tổng hợp–thực nghiệm</w:t>
      </w:r>
      <w:r>
        <w:t xml:space="preserve"> </w:t>
      </w:r>
      <w:r>
        <w:t xml:space="preserve">gồm hai giai đoạn bổ sung cho nhau. Giai đoạn thứ nhất là phân tích tổng hợp tài liệu để trả lời RQ1, còn giai đoạn thứ hai là phân tích thực nghiệm doanh nghiệp đa quốc gia để trả lời RQ2–RQ4. Hai giai đoạn đối thoại hai chiều: phân tích tổng hợp cung cấp cơ sở và gợi ý biến điều tiết cần kiểm định, còn thực nghiệm cung cấp bằng chứng bổ sung cho phân tích tổng hợp về bối cảnh châu Á và Pacific.</w:t>
      </w:r>
    </w:p>
    <w:p>
      <w:pPr>
        <w:pStyle w:val="BodyText"/>
      </w:pPr>
      <w:r>
        <w:rPr>
          <w:bCs/>
          <w:b/>
        </w:rPr>
        <w:t xml:space="preserve">Cơ sở kế thừa</w:t>
      </w:r>
      <w:r>
        <w:t xml:space="preserve">: Thiết kế hỗn hợp kết hợp phân tích tổng hợp và dữ liệu sơ cấp đã được áp dụng trong quản trị chiến lược và IB (Borenstein et al., 2009; Hunter &amp; Schmidt, 2004; Combs et al., 2011).</w:t>
      </w:r>
    </w:p>
    <w:p>
      <w:pPr>
        <w:pStyle w:val="BodyText"/>
      </w:pPr>
      <w:r>
        <w:rPr>
          <w:bCs/>
          <w:b/>
        </w:rPr>
        <w:t xml:space="preserve">Đóng góp mới</w:t>
      </w:r>
      <w:r>
        <w:t xml:space="preserve">: Áp dụng thiết kế hỗn hợp cho một luận án duy nhất về quốc tế hóa–hiệu quả hoạt động kinh doanh của doanh nghiệp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giai đoạn. Quy mô 50 nền kinh tế/88.869 doanh nghiệp là phạm vi địa lý lớn nhất từng có cho khu vực, mở rộng từ mẫu gộp 17 nước trong nghiên cứu thành phần P1.</w:t>
      </w:r>
    </w:p>
    <w:bookmarkEnd w:id="86"/>
    <w:bookmarkStart w:id="90"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phân tích tổng hợp trước đây; (ii) xây dựng khung lý thuyết tích hợp đa tầng và hệ giả thuyết H1–H6; (iii) tiến hành phân tích tổng hợp cập nhật 1977–2026; (iv) thu thập và chuẩn hóa dữ liệu WBES cho</w:t>
      </w:r>
      <w:r>
        <w:t xml:space="preserve"> </w:t>
      </w:r>
      <w:r>
        <w:rPr>
          <w:bCs/>
          <w:b/>
        </w:rPr>
        <w:t xml:space="preserve">50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 Toàn bộ quy trình và quan hệ bổ sung hai chiều giữa hai giai đoạn được trình bày ở Hình 3.1.</w:t>
      </w:r>
    </w:p>
    <w:p>
      <w:pPr>
        <w:pStyle w:val="BodyText"/>
      </w:pPr>
      <w:r>
        <w:drawing>
          <wp:inline>
            <wp:extent cx="5753100" cy="6240061"/>
            <wp:effectExtent b="0" l="0" r="0" t="0"/>
            <wp:docPr descr="" title="" id="88" name="Picture"/>
            <a:graphic>
              <a:graphicData uri="http://schemas.openxmlformats.org/drawingml/2006/picture">
                <pic:pic>
                  <pic:nvPicPr>
                    <pic:cNvPr descr="figures/fig_3_1_research_process.png" id="89" name="Picture"/>
                    <pic:cNvPicPr>
                      <a:picLocks noChangeArrowheads="1" noChangeAspect="1"/>
                    </pic:cNvPicPr>
                  </pic:nvPicPr>
                  <pic:blipFill>
                    <a:blip r:embed="rId87"/>
                    <a:stretch>
                      <a:fillRect/>
                    </a:stretch>
                  </pic:blipFill>
                  <pic:spPr bwMode="auto">
                    <a:xfrm>
                      <a:off x="0" y="0"/>
                      <a:ext cx="5753100" cy="6240061"/>
                    </a:xfrm>
                    <a:prstGeom prst="rect">
                      <a:avLst/>
                    </a:prstGeom>
                    <a:noFill/>
                    <a:ln w="9525">
                      <a:noFill/>
                      <a:headEnd/>
                      <a:tailEnd/>
                    </a:ln>
                  </pic:spPr>
                </pic:pic>
              </a:graphicData>
            </a:graphic>
          </wp:inline>
        </w:drawing>
      </w:r>
    </w:p>
    <w:p>
      <w:pPr>
        <w:pStyle w:val="BodyText"/>
      </w:pPr>
      <w:r>
        <w:rPr>
          <w:bCs/>
          <w:b/>
        </w:rPr>
        <w:t xml:space="preserve">Hình 3.1.</w:t>
      </w:r>
      <w:r>
        <w:t xml:space="preserve"> </w:t>
      </w:r>
      <w:r>
        <w:rPr>
          <w:iCs/>
          <w:i/>
        </w:rPr>
        <w:t xml:space="preserve">Quy trình nghiên cứu của luận án.</w:t>
      </w:r>
      <w:r>
        <w:t xml:space="preserve"> </w:t>
      </w:r>
      <w:r>
        <w:t xml:space="preserve">Mũi tên liền thể hiện trình tự thực hiện; mũi tên hai chiều thể hiện quan hệ bổ sung giữa hai giai đoạn (phân tích tổng hợp gợi ý biến điều tiết cần kiểm định; phân tích thực nghiệm cung cấp bằng chứng châu Á và Thái Bình Dương cho phân tích tổng hợp).</w:t>
      </w:r>
      <w:r>
        <w:t xml:space="preserve"> </w:t>
      </w:r>
      <w:r>
        <w:rPr>
          <w:iCs/>
          <w:i/>
        </w:rPr>
        <w:t xml:space="preserve">Nguồn: tác giả xây dựng.</w:t>
      </w:r>
    </w:p>
    <w:bookmarkEnd w:id="90"/>
    <w:bookmarkEnd w:id="91"/>
    <w:bookmarkStart w:id="96" w:name="giai-đoạn-1-phân-tích-tổng-hợp-19772026"/>
    <w:p>
      <w:pPr>
        <w:pStyle w:val="Heading2"/>
      </w:pPr>
      <w:r>
        <w:t xml:space="preserve">3.2 Giai đoạn 1: Phân tích tổng hợp 1977–2026</w:t>
      </w:r>
    </w:p>
    <w:bookmarkStart w:id="92" w:name="cơ-sở-kế-thừa"/>
    <w:p>
      <w:pPr>
        <w:pStyle w:val="Heading3"/>
      </w:pPr>
      <w:r>
        <w:t xml:space="preserve">3.2.1 Cơ sở kế thừa</w:t>
      </w:r>
    </w:p>
    <w:p>
      <w:pPr>
        <w:pStyle w:val="FirstParagraph"/>
      </w:pPr>
      <w:r>
        <w:t xml:space="preserve">Phân tích tổng hợp trong IB đã được thiết lập vững chắc qua nhiều thập kỷ (Hunter &amp; Schmidt, 2004; Borenstein et al., 2009). Phương pháp chuẩn bao gồm: xây dựng tiêu chí lựa chọn theo PRISMA (Page et al., 2021), chuyển dạng hiệu ứng bằng Fisher’s</w:t>
      </w:r>
      <w:r>
        <w:t xml:space="preserve"> </w:t>
      </w:r>
      <m:oMath>
        <m:r>
          <m:t>z</m:t>
        </m:r>
      </m:oMath>
      <w:r>
        <w:t xml:space="preserve">, tính hiệu ứng gộp size theo hiệu ứng ngẫu nhiên, kiểm định dị biệt bằng</w:t>
      </w:r>
      <w:r>
        <w:t xml:space="preserve"> </w:t>
      </w:r>
      <m:oMath>
        <m:r>
          <m:t>Q</m:t>
        </m:r>
      </m:oMath>
      <w:r>
        <w:t xml:space="preserve">-test và</w:t>
      </w:r>
      <w:r>
        <w:t xml:space="preserve"> </w:t>
      </w:r>
      <m:oMath>
        <m:sSup>
          <m:e>
            <m:r>
              <m:t>I</m:t>
            </m:r>
          </m:e>
          <m:sup>
            <m:r>
              <m:t>2</m:t>
            </m:r>
          </m:sup>
        </m:sSup>
      </m:oMath>
      <w:r>
        <w:t xml:space="preserve">, và đánh giá lệch lạc công bố bằng Egger và Begg-Mazumdar (Egger et al., 1997; Begg &amp; Mazumdar, 1994). Các các phân tích tổng hợp trước đây về quốc tế hóa và hiệu quả (Bausch &amp; Krist, 2007; Kirca et al., 2012; Marano et al., 2016; Wu et al., 2022; Arte &amp; Larimo, 2022) cung cấp quy trình mẫu mà luận án kế thừa và cập nhật.</w:t>
      </w:r>
    </w:p>
    <w:bookmarkEnd w:id="92"/>
    <w:bookmarkStart w:id="93" w:name="đóng-góp-mớiđiều-chỉnh"/>
    <w:p>
      <w:pPr>
        <w:pStyle w:val="Heading3"/>
      </w:pPr>
      <w:r>
        <w:t xml:space="preserve">3.2.2 Đóng góp mới/điều chỉnh</w:t>
      </w:r>
    </w:p>
    <w:p>
      <w:pPr>
        <w:numPr>
          <w:ilvl w:val="0"/>
          <w:numId w:val="1006"/>
        </w:numPr>
        <w:pStyle w:val="Compact"/>
      </w:pPr>
      <w:r>
        <w:rPr>
          <w:bCs/>
          <w:b/>
        </w:rPr>
        <w:t xml:space="preserve">Mở rộng phạm vi thời gian</w:t>
      </w:r>
      <w:r>
        <w:t xml:space="preserve">: từ 1977–2022 (bài ICBEF 2024) sang</w:t>
      </w:r>
      <w:r>
        <w:t xml:space="preserve"> </w:t>
      </w:r>
      <w:r>
        <w:rPr>
          <w:bCs/>
          <w:b/>
        </w:rPr>
        <w:t xml:space="preserve">1977–2026</w:t>
      </w:r>
      <w:r>
        <w:t xml:space="preserve">, bổ sung các nghiên cứu 2023–2026 liên quan đến chuyển đổi số và doanh nghiệp đa quốc gia thị trường mới nổi.</w:t>
      </w:r>
    </w:p>
    <w:p>
      <w:pPr>
        <w:numPr>
          <w:ilvl w:val="0"/>
          <w:numId w:val="1006"/>
        </w:numPr>
        <w:pStyle w:val="Compact"/>
      </w:pPr>
      <w:r>
        <w:rPr>
          <w:bCs/>
          <w:b/>
        </w:rPr>
        <w:t xml:space="preserve">Mở rộng phạm vi biến điều tiết</w:t>
      </w:r>
      <w:r>
        <w:t xml:space="preserve">: thêm cụm biến điều tiết về năng lực số và 6 chế độ con ICRV, chưa được xem xét đầy đủ trong các phân tích tổng hợp trước.</w:t>
      </w:r>
    </w:p>
    <w:p>
      <w:pPr>
        <w:numPr>
          <w:ilvl w:val="0"/>
          <w:numId w:val="1006"/>
        </w:numPr>
        <w:pStyle w:val="Compact"/>
      </w:pPr>
      <w:r>
        <w:rPr>
          <w:bCs/>
          <w:b/>
        </w:rPr>
        <w:t xml:space="preserve">Tập tổng hợp</w:t>
      </w:r>
      <w:r>
        <w:t xml:space="preserve">: K=288 cỡ ảnh hưởng / k=238 nghiên cứu, được xây dựng theo chiến lược tìm kiếm hệ thống nhưng có giới hạn (neo theo trích dẫn: quét trích dẫn xuôi và ngược từ 5 phân tích tổng hợp mỏ neo, bổ sung bằng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2024 (K=200 / k=113).</w:t>
      </w:r>
    </w:p>
    <w:p>
      <w:pPr>
        <w:numPr>
          <w:ilvl w:val="0"/>
          <w:numId w:val="1006"/>
        </w:numPr>
        <w:pStyle w:val="Compact"/>
      </w:pPr>
      <w:r>
        <w:rPr>
          <w:bCs/>
          <w:b/>
        </w:rPr>
        <w:t xml:space="preserve">Subgroup theo châu Á và Pacific</w:t>
      </w:r>
      <w:r>
        <w:t xml:space="preserve">: tách riêng nhóm nghiên cứu về doanh nghiệp châu Á và Pacific để cung cấp cơ sở trực tiếp cho giai đoạn thực nghiệm, đối chiếu với mẫu gộp 17 nước trong nghiên cứu thành phần P1.</w:t>
      </w:r>
    </w:p>
    <w:bookmarkEnd w:id="93"/>
    <w:bookmarkStart w:id="94"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lựa chọn: nghiên cứu thực nghiệm ở cấp doanh nghiệp, có đo lường quốc tế hóa và hiệu quả hoạt động kinh doanh của doanh nghiệp, có đủ thống kê để tính cỡ ảnh hưởng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94"/>
    <w:bookmarkStart w:id="95" w:name="Xd4c164ee6604550537899b3ed376afa74960928"/>
    <w:p>
      <w:pPr>
        <w:pStyle w:val="Heading3"/>
      </w:pPr>
      <w:r>
        <w:t xml:space="preserve">3.2.4 Công cụ trích xuất dữ liệu và công bố sử dụng trí tuệ nhân tạo</w:t>
      </w:r>
    </w:p>
    <w:p>
      <w:pPr>
        <w:pStyle w:val="FirstParagraph"/>
      </w:pPr>
      <w:r>
        <w:t xml:space="preserve">Việc trích xuất cỡ ảnh hưởng từ K=288 ước lượng (k=238 nghiên cứu) được thực hiện bằng phần mềm chuyên dụng</w:t>
      </w:r>
      <w:r>
        <w:t xml:space="preserve"> </w:t>
      </w:r>
      <w:r>
        <w:rPr>
          <w:bCs/>
          <w:b/>
        </w:rPr>
        <w:t xml:space="preserve">M-AIDA</w:t>
      </w:r>
      <w:r>
        <w:t xml:space="preserve"> </w:t>
      </w:r>
      <w:r>
        <w:t xml:space="preserve">(Meta-Analysis Intelligent Data Assistant, phiên bản 7.0) do chính nghiên cứu sinh phát triển và đã nộp hồ sơ đăng ký quyền tác giả. M-AIDA dùng mô hình ngôn ngữ lớn (large language model, LLM) để đọc và trích các thống kê gốc (cỡ mẫu</w:t>
      </w:r>
      <w:r>
        <w:t xml:space="preserve"> </w:t>
      </w:r>
      <m:oMath>
        <m:r>
          <m:t>N</m:t>
        </m:r>
      </m:oMath>
      <w:r>
        <w:t xml:space="preserve">, hệ số tương quan</w:t>
      </w:r>
      <w:r>
        <w:t xml:space="preserve"> </w:t>
      </w:r>
      <m:oMath>
        <m:r>
          <m:t>r</m:t>
        </m:r>
      </m:oMath>
      <w:r>
        <w:t xml:space="preserve">, thống kê</w:t>
      </w:r>
      <w:r>
        <w:t xml:space="preserve"> </w:t>
      </w:r>
      <m:oMath>
        <m:r>
          <m:t>t</m:t>
        </m:r>
      </m:oMath>
      <w:r>
        <w:t xml:space="preserve">, bậc tự do</w:t>
      </w:r>
      <w:r>
        <w:t xml:space="preserve"> </w:t>
      </w:r>
      <m:oMath>
        <m:r>
          <m:t>d</m:t>
        </m:r>
        <m:r>
          <m:t>f</m:t>
        </m:r>
      </m:oMath>
      <w:r>
        <w:t xml:space="preserve">, hệ số hồi quy chuẩn hóa</w:t>
      </w:r>
      <w:r>
        <w:t xml:space="preserve"> </w:t>
      </w:r>
      <m:oMath>
        <m:r>
          <m:t>β</m:t>
        </m:r>
      </m:oMath>
      <w:r>
        <w:t xml:space="preserve">, giá trị</w:t>
      </w:r>
      <w:r>
        <w:t xml:space="preserve"> </w:t>
      </w:r>
      <m:oMath>
        <m:r>
          <m:t>p</m:t>
        </m:r>
      </m:oMath>
      <w:r>
        <w:t xml:space="preserve">, khoảng tin cậy) từ bản PDF của từng nghiên cứu, kèm điểm tin cậy trích xuất (extraction confidence) ba mức — 1,0 khi lấy trực tiếp</w:t>
      </w:r>
      <w:r>
        <w:t xml:space="preserve"> </w:t>
      </w:r>
      <m:oMath>
        <m:r>
          <m:t>r</m:t>
        </m:r>
      </m:oMath>
      <w:r>
        <w:t xml:space="preserve">; 0,8 khi suy từ</w:t>
      </w:r>
      <w:r>
        <w:t xml:space="preserve"> </w:t>
      </w:r>
      <m:oMath>
        <m:r>
          <m:t>t</m:t>
        </m:r>
      </m:oMath>
      <w:r>
        <w:t xml:space="preserve">; 0,6 khi suy từ</w:t>
      </w:r>
      <w:r>
        <w:t xml:space="preserve"> </w:t>
      </w:r>
      <m:oMath>
        <m:r>
          <m:t>β</m:t>
        </m:r>
      </m:oMath>
      <w:r>
        <w:t xml:space="preserve"> </w:t>
      </w:r>
      <w:r>
        <w:t xml:space="preserve">theo Peterson và Brown (2005) — và tự động gắn cờ cần xác minh đối với mọi bản ghi có độ tin cậy dưới 0,7.</w:t>
      </w:r>
    </w:p>
    <w:p>
      <w:pPr>
        <w:pStyle w:val="BodyText"/>
      </w:pPr>
      <w:r>
        <w:t xml:space="preserve">Để bảo đảm liêm chính và khả năng tái lập, luận án áp dụng nguyên tắc</w:t>
      </w:r>
      <w:r>
        <w:t xml:space="preserve"> </w:t>
      </w:r>
      <w:r>
        <w:rPr>
          <w:bCs/>
          <w:b/>
        </w:rPr>
        <w:t xml:space="preserve">con người trong vòng lặp (human-in-the-loop) với kiểm chứng toàn bộ (100%) bởi nghiên cứu sinh</w:t>
      </w:r>
      <w:r>
        <w:t xml:space="preserve"> </w:t>
      </w:r>
      <w:r>
        <w:t xml:space="preserve">trong vai trò chủ trì nghiên cứu (Principal Investigator): (i) LLM</w:t>
      </w:r>
      <w:r>
        <w:t xml:space="preserve"> </w:t>
      </w:r>
      <w:r>
        <w:rPr>
          <w:bCs/>
          <w:b/>
        </w:rPr>
        <w:t xml:space="preserve">chỉ</w:t>
      </w:r>
      <w:r>
        <w:t xml:space="preserve"> </w:t>
      </w:r>
      <w:r>
        <w:t xml:space="preserve">trích xuất thống kê và</w:t>
      </w:r>
      <w:r>
        <w:t xml:space="preserve"> </w:t>
      </w:r>
      <w:r>
        <w:rPr>
          <w:bCs/>
          <w:b/>
        </w:rPr>
        <w:t xml:space="preserve">không</w:t>
      </w:r>
      <w:r>
        <w:t xml:space="preserve"> </w:t>
      </w:r>
      <w:r>
        <w:t xml:space="preserve">suy đoán các biến điều tiết thể chế — các nhãn chế độ ICRV, pha DPL và chỉ số cDAI do nghiên cứu sinh gán thủ công từ bảng tra cứu ngoài (WGI Rule of Law, năm dữ liệu trung vị, Digital Adoption Index), bảo đảm tính kiểm chứng độc lập; (ii) mỗi bản ghi phải được nghiên cứu sinh phê duyệt — với quyền ghi đè bất kỳ trường nào — trước khi được</w:t>
      </w:r>
      <w:r>
        <w:t xml:space="preserve"> </w:t>
      </w:r>
      <w:r>
        <w:rPr>
          <w:bCs/>
          <w:b/>
        </w:rPr>
        <w:t xml:space="preserve">khóa bất biến (irreversible data lock)</w:t>
      </w:r>
      <w:r>
        <w:t xml:space="preserve"> </w:t>
      </w:r>
      <w:r>
        <w:t xml:space="preserve">kèm dấu thời gian; (iii) chỉ các bản ghi đã khóa mới được đưa vào tập phân tích tổng hợp. Cơ chế hai bước phê duyệt–khóa tạo dấu vết kiểm toán (audit trail) phân tách rạch ròi phần do máy trích xuất và phần do con người quyết định, phù hợp với chuẩn mực công bố sử dụng trí tuệ nhân tạo ngày càng được các tạp chí học thuật yêu cầu. Kiến trúc, quy trình trích xuất–chuyển đổi cỡ ảnh hưởng và cơ chế quản trị dữ liệu của M-AIDA được trình bày chi tiết ở</w:t>
      </w:r>
      <w:r>
        <w:t xml:space="preserve"> </w:t>
      </w:r>
      <w:r>
        <w:rPr>
          <w:bCs/>
          <w:b/>
        </w:rPr>
        <w:t xml:space="preserve">Phụ lục B</w:t>
      </w:r>
      <w:r>
        <w:t xml:space="preserve">.</w:t>
      </w:r>
    </w:p>
    <w:bookmarkEnd w:id="95"/>
    <w:bookmarkEnd w:id="96"/>
    <w:bookmarkStart w:id="113" w:name="X2f2dc61cf51b22160123af8668c978f8ce43175"/>
    <w:p>
      <w:pPr>
        <w:pStyle w:val="Heading2"/>
      </w:pPr>
      <w:r>
        <w:t xml:space="preserve">3.3 Giai đoạn 2: Phân tích thực nghiệm đa quốc gia</w:t>
      </w:r>
    </w:p>
    <w:bookmarkStart w:id="97"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2006–2026</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kết quả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châu Á mới nổi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chế độ con ICRV (Advanced innovation-driven, tiên tiến tài nguyên, trung bình cao, chuyển đổi thu nhập trung bình thấp, đang nổi, SIDS). Quy mô này là lớn nhất cho khu vực trong tài liệu quốc tế hóa–performance, gồm cả trường hợp biên đảo nhỏ Thái Bình Dương (7 nước, n=959 (mẫu phân tích sau lọc missing)) cho phép kiểm định forced quốc tế hóa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tài liệu IB sử dụng WBES (Aterido et al., 2011; Cuervo-Cazurra et al., 2018); (2) hiệu ứng cố định ở cấp cặp nền kinh tế và năm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97"/>
    <w:bookmarkStart w:id="98"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phân hệ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mô hình để bảo đảm kết quả không bị chi phối bởi cơ chế khuyết. Toàn bộ thao tác chi tiết của quy trình sáu bước, cùng dòng dữ liệu kiểu PRISMA và mã tái lập, được trình bày đầy đủ ở Phụ lục A.</w:t>
      </w:r>
    </w:p>
    <w:bookmarkEnd w:id="98"/>
    <w:bookmarkStart w:id="99"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w:t>
      </w:r>
      <w:r>
        <w:t xml:space="preserve"> </w:t>
      </w:r>
      <m:oMath>
        <m:r>
          <m:rPr>
            <m:sty m:val="p"/>
          </m:rPr>
          <m:t>L</m:t>
        </m:r>
        <m:r>
          <m:rPr>
            <m:sty m:val="p"/>
          </m:rPr>
          <m:t>P</m:t>
        </m:r>
      </m:oMath>
      <w:r>
        <w:t xml:space="preserve"> </w:t>
      </w:r>
      <w:r>
        <w:t xml:space="preserve">(labour productivity), đo bằng</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trong đó</w:t>
      </w:r>
      <w:r>
        <w:t xml:space="preserve"> </w:t>
      </w:r>
      <m:oMath>
        <m:r>
          <m:t>d</m:t>
        </m:r>
        <m:r>
          <m:t>2</m:t>
        </m:r>
      </m:oMath>
      <w:r>
        <w:t xml:space="preserve"> </w:t>
      </w:r>
      <w:r>
        <w:t xml:space="preserve">là tổng doanh thu năm tài chính gần nhất và</w:t>
      </w:r>
      <w:r>
        <w:t xml:space="preserve"> </w:t>
      </w:r>
      <m:oMath>
        <m:r>
          <m:t>l</m:t>
        </m:r>
        <m:r>
          <m:t>1</m:t>
        </m:r>
      </m:oMath>
      <w:r>
        <w:t xml:space="preserve"> </w:t>
      </w:r>
      <w:r>
        <w:t xml:space="preserve">là số lao động thường xuyên toàn thời gian (mã trường WBES).</w:t>
      </w:r>
    </w:p>
    <w:p>
      <w:pPr>
        <w:pStyle w:val="BodyText"/>
      </w:pPr>
      <w:r>
        <w:rPr>
          <w:bCs/>
          <w:b/>
        </w:rPr>
        <w:t xml:space="preserve">Cơ sở kế thừa</w:t>
      </w:r>
      <w:r>
        <w:t xml:space="preserve">: năng suất lao động được sử dụng rộng rãi trong nghiên cứu WBES và trong tài liệu về năng suất doanh nghiệp (Bloom et al., 2012; Hsieh &amp; Klenow, 2009). Chỉ tiêu này đã được vận hành hóa thành công trong bài thực trạng châu Á mới nổi (nghiên cứu thành phần P1).</w:t>
      </w:r>
    </w:p>
    <w:p>
      <w:pPr>
        <w:pStyle w:val="BodyText"/>
      </w:pPr>
      <w:r>
        <w:rPr>
          <w:bCs/>
          <w:b/>
        </w:rPr>
        <w:t xml:space="preserve">Lập luận chọn</w:t>
      </w:r>
      <w:r>
        <w:t xml:space="preserve">: WBES không phải bộ báo cáo tài chính đầy đủ, nên năng suất lao động phù hợp hơn các tỷ suất sinh lời kế toán (ROA, ROE, ROS) trong bối cảnh đa quốc gia. Ngoài ra, năng suất lao động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sty m:val="p"/>
              </m:rPr>
              <m:t>L</m:t>
            </m:r>
            <m:r>
              <m:rPr>
                <m:sty m:val="p"/>
              </m:rPr>
              <m:t>P</m:t>
            </m:r>
          </m:e>
        </m:d>
      </m:oMath>
      <w:r>
        <w:t xml:space="preserve"> </w:t>
      </w:r>
      <w:r>
        <w:t xml:space="preserve">từ trường WBES</w:t>
      </w:r>
      <w:r>
        <w:t xml:space="preserve"> </w:t>
      </w:r>
      <m:oMath>
        <m:r>
          <m:t>d</m:t>
        </m:r>
        <m:r>
          <m:t>2</m:t>
        </m:r>
        <m:r>
          <m:rPr>
            <m:sty m:val="p"/>
          </m:rPr>
          <m:t>/</m:t>
        </m:r>
        <m:r>
          <m:t>l</m:t>
        </m:r>
        <m:r>
          <m:t>1</m:t>
        </m:r>
      </m:oMath>
      <w:r>
        <w:t xml:space="preserve"> </w:t>
      </w:r>
      <w:r>
        <w:t xml:space="preserve">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hiệu ứng cố định năm (P5:</w:t>
      </w:r>
      <w:r>
        <w:t xml:space="preserve"> </w:t>
      </w:r>
      <m:oMath>
        <m:sSub>
          <m:e>
            <m:r>
              <m:t>D</m:t>
            </m:r>
          </m:e>
          <m:sub>
            <m:r>
              <m:t>2024</m:t>
            </m:r>
          </m:sub>
        </m:sSub>
      </m:oMath>
      <w:r>
        <w:t xml:space="preserve">; P3 bổ sung hiệu chỉnh PPP cho khoảng cách 14 năm 2009–2023), kèm cắt đuôi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w:t>
      </w:r>
      <w:r>
        <w:t xml:space="preserve"> </w:t>
      </w:r>
      <m:oMath>
        <m:r>
          <m:rPr>
            <m:sty m:val="p"/>
          </m:rPr>
          <m:t>F</m:t>
        </m:r>
        <m:r>
          <m:rPr>
            <m:sty m:val="p"/>
          </m:rPr>
          <m:t>S</m:t>
        </m:r>
        <m:r>
          <m:rPr>
            <m:sty m:val="p"/>
          </m:rPr>
          <m:t>T</m:t>
        </m:r>
        <m:r>
          <m:rPr>
            <m:sty m:val="p"/>
          </m:rPr>
          <m:t>S</m:t>
        </m:r>
      </m:oMath>
      <w:r>
        <w:t xml:space="preserve"> </w:t>
      </w:r>
      <w:r>
        <w:t xml:space="preserve">bằng</w:t>
      </w:r>
      <w:r>
        <w:t xml:space="preserve"> </w:t>
      </w:r>
      <w:r>
        <w:rPr>
          <w:bCs/>
          <w:b/>
        </w:rPr>
        <w:t xml:space="preserve">tổng xuất khẩu trực tiếp và gián tiếp</w:t>
      </w:r>
      <w:r>
        <w:t xml:space="preserve"> </w:t>
      </w:r>
      <w:r>
        <w:t xml:space="preserve">(trường WBES</w:t>
      </w:r>
      <w:r>
        <w:t xml:space="preserve"> </w:t>
      </w:r>
      <m:oMath>
        <m:r>
          <m:t>d</m:t>
        </m:r>
        <m:r>
          <m:t>3</m:t>
        </m:r>
        <m:r>
          <m:t>b</m:t>
        </m:r>
        <m:r>
          <m:rPr>
            <m:sty m:val="p"/>
          </m:rPr>
          <m:t>+</m:t>
        </m:r>
        <m:r>
          <m:t>d</m:t>
        </m:r>
        <m:r>
          <m:t>3</m:t>
        </m:r>
        <m:r>
          <m:t>c</m:t>
        </m:r>
      </m:oMath>
      <w:r>
        <w:t xml:space="preserve">),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w:t>
      </w:r>
      <m:oMath>
        <m:r>
          <m:t>d</m:t>
        </m:r>
        <m:r>
          <m:t>3</m:t>
        </m:r>
        <m:r>
          <m:t>c</m:t>
        </m:r>
      </m:oMath>
      <w:r>
        <w:t xml:space="preserve">),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tài liệu về quan hệ quốc tế hóa và hiệu quả (Lu &amp; Beamish, 2001; Sullivan, 1994); lựa chọn thao tác hóa được ghi rõ trong phần dữ liệu của từng nghiên cứu thành phần.</w:t>
      </w:r>
    </w:p>
    <w:p>
      <w:pPr>
        <w:pStyle w:val="BodyText"/>
      </w:pPr>
      <w:r>
        <w:rPr>
          <w:bCs/>
          <w:b/>
        </w:rPr>
        <w:t xml:space="preserve">Biến độ vững</w:t>
      </w:r>
      <w:r>
        <w:t xml:space="preserve">: tỷ suất lợi nhuận trên doanh thu (</w:t>
      </w:r>
      <m:oMath>
        <m:r>
          <m:rPr>
            <m:sty m:val="p"/>
          </m:rPr>
          <m:t>R</m:t>
        </m:r>
        <m:r>
          <m:rPr>
            <m:sty m:val="p"/>
          </m:rPr>
          <m:t>O</m:t>
        </m:r>
        <m:r>
          <m:rPr>
            <m:sty m:val="p"/>
          </m:rPr>
          <m:t>S</m:t>
        </m:r>
      </m:oMath>
      <w:r>
        <w:t xml:space="preserve">), tăng trưởng doanh thu, tăng trưởng lao động, và logarit doanh thu năm</w:t>
      </w:r>
      <w:r>
        <w:t xml:space="preserve"> </w:t>
      </w:r>
      <m:oMath>
        <m:r>
          <m:rPr>
            <m:sty m:val="p"/>
          </m:rPr>
          <m:t>ln</m:t>
        </m:r>
        <m:d>
          <m:dPr>
            <m:begChr m:val="("/>
            <m:endChr m:val=")"/>
            <m:sepChr m:val=""/>
            <m:grow/>
          </m:dPr>
          <m:e>
            <m:r>
              <m:t>d</m:t>
            </m:r>
            <m:r>
              <m:t>2</m:t>
            </m:r>
          </m:e>
        </m:d>
      </m:oMath>
      <w:r>
        <w:t xml:space="preserve">.</w:t>
      </w:r>
    </w:p>
    <w:p>
      <w:pPr>
        <w:pStyle w:val="BodyText"/>
      </w:pPr>
      <w:r>
        <w:rPr>
          <w:bCs/>
          <w:b/>
        </w:rPr>
        <w:t xml:space="preserve">Đóng góp mới</w:t>
      </w:r>
      <w:r>
        <w:t xml:space="preserve">: lập luận rõ ràng về hiệu quả hoạt động kinh doanh của doanh nghiệp là khái niệm đa chiều và việc lựa chọn thước đo phải phù hợp với bối cảnh dữ liệu (xem Chương 2).</w:t>
      </w:r>
    </w:p>
    <w:bookmarkEnd w:id="99"/>
    <w:bookmarkStart w:id="100"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100"/>
    <w:bookmarkStart w:id="101" w:name="đo-lường-biến-độc-lập-mức-độ-quốc-tế-hóa"/>
    <w:p>
      <w:pPr>
        <w:pStyle w:val="Heading3"/>
      </w:pPr>
      <w:r>
        <w:t xml:space="preserve">3.3.3 Đo lường biến độc lập: Mức độ quốc tế hóa</w:t>
      </w:r>
    </w:p>
    <w:p>
      <w:pPr>
        <w:pStyle w:val="FirstParagraph"/>
      </w:pPr>
      <w:r>
        <w:rPr>
          <w:bCs/>
          <w:b/>
        </w:rPr>
        <w:t xml:space="preserve">Khái niệm.</w:t>
      </w:r>
      <w:r>
        <w:t xml:space="preserve"> </w:t>
      </w:r>
      <w:r>
        <w:t xml:space="preserve">Biến độc lập trọng tâm của luận án là</w:t>
      </w:r>
      <w:r>
        <w:t xml:space="preserve"> </w:t>
      </w:r>
      <w:r>
        <w:rPr>
          <w:iCs/>
          <w:i/>
        </w:rPr>
        <w:t xml:space="preserve">mức độ quốc tế hóa</w:t>
      </w:r>
      <w:r>
        <w:t xml:space="preserve"> </w:t>
      </w:r>
      <w:r>
        <w:t xml:space="preserve">(degree of internationalization, DOI) — phạm vi mà doanh nghiệp gắn hoạt động của mình với thị trường nước ngoài. Theo Sullivan (1994), mức độ quốc tế hóa là khái niệm đa chiều gồm ba thành phần: chiều theo doanh số (tỷ trọng doanh thu nước ngoài), chiều theo tài sản (tỷ trọng tài sản đặt ở nước ngoài) và chiều theo nhân sự, tâm lý (mức độ phân tán quốc tế của nhân lực và định hướng quản trị). Bộ dữ liệu WBES chỉ thu thập nhất quán</w:t>
      </w:r>
      <w:r>
        <w:t xml:space="preserve"> </w:t>
      </w:r>
      <w:r>
        <w:rPr>
          <w:bCs/>
          <w:b/>
        </w:rPr>
        <w:t xml:space="preserve">chiều theo doanh số</w:t>
      </w:r>
      <w:r>
        <w:t xml:space="preserve"> </w:t>
      </w:r>
      <w:r>
        <w:t xml:space="preserve">xuyên ba thế hệ bảng hỏi, nên luận án thao tác hóa mức độ quốc tế hóa bằng</w:t>
      </w:r>
      <w:r>
        <w:t xml:space="preserve"> </w:t>
      </w:r>
      <w:r>
        <w:rPr>
          <w:iCs/>
          <w:i/>
        </w:rPr>
        <w:t xml:space="preserve">cường độ xuất khẩu</w:t>
      </w:r>
      <w:r>
        <w:t xml:space="preserve"> </w:t>
      </w:r>
      <m:oMath>
        <m:r>
          <m:rPr>
            <m:sty m:val="p"/>
          </m:rPr>
          <m:t>F</m:t>
        </m:r>
        <m:r>
          <m:rPr>
            <m:sty m:val="p"/>
          </m:rPr>
          <m:t>S</m:t>
        </m:r>
        <m:r>
          <m:rPr>
            <m:sty m:val="p"/>
          </m:rPr>
          <m:t>T</m:t>
        </m:r>
        <m:r>
          <m:rPr>
            <m:sty m:val="p"/>
          </m:rPr>
          <m:t>S</m:t>
        </m:r>
      </m:oMath>
      <w:r>
        <w:t xml:space="preserve"> </w:t>
      </w:r>
      <w:r>
        <w:t xml:space="preserve">(foreign sales to total sales) — tỷ trọng doanh thu xuất khẩu trên tổng doanh thu, miền giá trị</w:t>
      </w:r>
      <w:r>
        <w:t xml:space="preserve"> </w:t>
      </w:r>
      <m:oMath>
        <m:d>
          <m:dPr>
            <m:begChr m:val="["/>
            <m:endChr m:val="]"/>
            <m:sepChr m:val=""/>
            <m:grow/>
          </m:dPr>
          <m:e>
            <m:r>
              <m:t>0</m:t>
            </m:r>
            <m:r>
              <m:rPr>
                <m:sty m:val="p"/>
              </m:rPr>
              <m:t>,</m:t>
            </m:r>
            <m:r>
              <m:t>1</m:t>
            </m:r>
          </m:e>
        </m:d>
      </m:oMath>
      <w:r>
        <w:t xml:space="preserve">.</w:t>
      </w:r>
    </w:p>
    <w:p>
      <w:pPr>
        <w:pStyle w:val="BodyText"/>
      </w:pPr>
      <w:r>
        <w:rPr>
          <w:bCs/>
          <w:b/>
        </w:rPr>
        <w:t xml:space="preserve">Biến chính.</w:t>
      </w:r>
      <w:r>
        <w:t xml:space="preserve"> </w:t>
      </w:r>
      <m:oMath>
        <m:r>
          <m:rPr>
            <m:sty m:val="p"/>
          </m:rPr>
          <m:t>F</m:t>
        </m:r>
        <m:r>
          <m:rPr>
            <m:sty m:val="p"/>
          </m:rPr>
          <m:t>S</m:t>
        </m:r>
        <m:r>
          <m:rPr>
            <m:sty m:val="p"/>
          </m:rPr>
          <m:t>T</m:t>
        </m:r>
        <m:r>
          <m:rPr>
            <m:sty m:val="p"/>
          </m:rPr>
          <m:t>S</m:t>
        </m:r>
      </m:oMath>
      <w:r>
        <w:t xml:space="preserve"> </w:t>
      </w:r>
      <w:r>
        <w:t xml:space="preserve">là tỷ lệ doanh thu xuất khẩu trên tổng doanh thu. Mô hình đưa vào đồng thời số hạng bậc nhất</w:t>
      </w:r>
      <w:r>
        <w:t xml:space="preserve"> </w:t>
      </w:r>
      <m:oMath>
        <m:r>
          <m:rPr>
            <m:sty m:val="p"/>
          </m:rPr>
          <m:t>F</m:t>
        </m:r>
        <m:r>
          <m:rPr>
            <m:sty m:val="p"/>
          </m:rPr>
          <m:t>S</m:t>
        </m:r>
        <m:r>
          <m:rPr>
            <m:sty m:val="p"/>
          </m:rPr>
          <m:t>T</m:t>
        </m:r>
        <m:r>
          <m:rPr>
            <m:sty m:val="p"/>
          </m:rPr>
          <m:t>S</m:t>
        </m:r>
      </m:oMath>
      <w:r>
        <w:t xml:space="preserve"> </w:t>
      </w:r>
      <w:r>
        <w:t xml:space="preserve">và số hạng bậc hai</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quan hệ phi tuyến dạng chữ U ngược.</w:t>
      </w:r>
    </w:p>
    <w:p>
      <w:pPr>
        <w:pStyle w:val="BodyText"/>
      </w:pPr>
      <w:r>
        <w:rPr>
          <w:bCs/>
          <w:b/>
        </w:rPr>
        <w:t xml:space="preserve">Cơ sở kế thừa</w:t>
      </w:r>
      <w:r>
        <w:t xml:space="preserve">:</w:t>
      </w:r>
      <w:r>
        <w:t xml:space="preserve"> </w:t>
      </w:r>
      <m:oMath>
        <m:r>
          <m:rPr>
            <m:sty m:val="p"/>
          </m:rPr>
          <m:t>F</m:t>
        </m:r>
        <m:r>
          <m:rPr>
            <m:sty m:val="p"/>
          </m:rPr>
          <m:t>S</m:t>
        </m:r>
        <m:r>
          <m:rPr>
            <m:sty m:val="p"/>
          </m:rPr>
          <m:t>T</m:t>
        </m:r>
        <m:r>
          <m:rPr>
            <m:sty m:val="p"/>
          </m:rPr>
          <m:t>S</m:t>
        </m:r>
      </m:oMath>
      <w:r>
        <w:t xml:space="preserve"> </w:t>
      </w:r>
      <w:r>
        <w:t xml:space="preserve">là thước đo đơn chiều của mức độ quốc tế hóa được dùng phổ biến nhất trong tài liệu về quan hệ quốc tế hóa và hiệu quả khi dữ liệu chiều tài sản và chiều nhân sự quốc tế không khả dụng (Sullivan, 1994; Lu &amp; Beamish, 2001; Hitt et al., 2006). Việc bổ sung</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phi tuyến đã được áp dụng trong Lu và Beamish (2004), Contractor et al. (2003), và Hitt et al. (1997). Dạng bậc hai được nghiên cứu thành phần P2 xác nhận có ý nghĩa thống kê ở Trung Quốc với điểm uốn khoảng 47,8%</w:t>
      </w:r>
      <w:r>
        <w:t xml:space="preserve"> </w:t>
      </w:r>
      <m:oMath>
        <m:r>
          <m:rPr>
            <m:sty m:val="p"/>
          </m:rPr>
          <m:t>F</m:t>
        </m:r>
        <m:r>
          <m:rPr>
            <m:sty m:val="p"/>
          </m:rPr>
          <m:t>S</m:t>
        </m:r>
        <m:r>
          <m:rPr>
            <m:sty m:val="p"/>
          </m:rPr>
          <m:t>T</m:t>
        </m:r>
        <m:r>
          <m:rPr>
            <m:sty m:val="p"/>
          </m:rPr>
          <m:t>S</m:t>
        </m:r>
      </m:oMath>
      <w:r>
        <w:t xml:space="preserve">, làm cơ sở cho việc kiểm định mở rộng trong luận án. Giới hạn đo lường đơn chiều này (chỉ chiều doanh số) được nêu minh bạch như một hạn chế nghiên cứu ở Chương 5.</w:t>
      </w:r>
    </w:p>
    <w:bookmarkEnd w:id="101"/>
    <w:bookmarkStart w:id="102"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Dạng bậc hai được dùng nhất quán trong mọi nghiên cứu thành phần, vì nó đủ để nhận dạng một điểm uốn nội miền và phù hợp với mật độ phân phối cường độ xuất khẩu của các mẫu doanh nghiệp WBES; luận án không mở rộng lên dạng bậc ba để tránh nhận dạng điểm uốn không ổn định ở vùng cường độ xuất khẩu cao vốn thưa quan sát.</w:t>
      </w:r>
    </w:p>
    <w:bookmarkEnd w:id="102"/>
    <w:bookmarkStart w:id="103" w:name="X454cd0efaa6c7f71cd04aad60b675e2b8b0384f"/>
    <w:p>
      <w:pPr>
        <w:pStyle w:val="Heading3"/>
      </w:pPr>
      <w:r>
        <w:t xml:space="preserve">3.3.3.2 Vận hành hóa chi tiết cường độ xuất khẩu xuyên các nghiên cứu thành phần</w:t>
      </w:r>
    </w:p>
    <w:p>
      <w:pPr>
        <w:pStyle w:val="FirstParagraph"/>
      </w:pPr>
      <w:r>
        <w:t xml:space="preserve">Sự thống nhất khái niệm của cường độ xuất khẩu xuyên các nghiên cứu thành phần không kéo theo một định nghĩa thao tác duy nhất, mà là một họ định nghĩa được hiệu chỉnh theo bản chất bộ công cụ của từng đợt và theo câu hỏi nghiên cứu. Khung đa quốc gia cộng gộp xuất khẩu trực tiếp và gián tiếp rồi chia cho một trăm để đưa về tỷ trọng, cụ thể</w:t>
      </w:r>
      <w:r>
        <w:t xml:space="preserve"> </w:t>
      </w:r>
      <m:oMath>
        <m:r>
          <m:rPr>
            <m:sty m:val="p"/>
          </m:rPr>
          <m:t>F</m:t>
        </m:r>
        <m:r>
          <m:rPr>
            <m:sty m:val="p"/>
          </m:rPr>
          <m:t>S</m:t>
        </m:r>
        <m:r>
          <m:rPr>
            <m:sty m:val="p"/>
          </m:rPr>
          <m:t>T</m:t>
        </m:r>
        <m:r>
          <m:rPr>
            <m:sty m:val="p"/>
          </m:rPr>
          <m:t>S</m:t>
        </m:r>
        <m:r>
          <m:rPr>
            <m:sty m:val="p"/>
          </m:rPr>
          <m:t>=</m:t>
        </m:r>
        <m:d>
          <m:dPr>
            <m:begChr m:val="("/>
            <m:endChr m:val=")"/>
            <m:sepChr m:val=""/>
            <m:grow/>
          </m:dPr>
          <m:e>
            <m:r>
              <m:t>d</m:t>
            </m:r>
            <m:r>
              <m:t>3</m:t>
            </m:r>
            <m:r>
              <m:t>b</m:t>
            </m:r>
            <m:r>
              <m:rPr>
                <m:sty m:val="p"/>
              </m:rPr>
              <m:t>+</m:t>
            </m:r>
            <m:r>
              <m:t>d</m:t>
            </m:r>
            <m:r>
              <m:t>3</m:t>
            </m:r>
            <m:r>
              <m:t>c</m:t>
            </m:r>
          </m:e>
        </m:d>
        <m:r>
          <m:rPr>
            <m:sty m:val="p"/>
          </m:rPr>
          <m:t>/</m:t>
        </m:r>
        <m:r>
          <m:t>100</m:t>
        </m:r>
      </m:oMath>
      <w:r>
        <w:t xml:space="preserve"> </w:t>
      </w:r>
      <w:r>
        <w:t xml:space="preserve">với miền giá trị từ 0 đến 1, đúng định nghĩa tham gia xuất khẩu chuẩn của bộ công cụ toàn cầu; trung bình mẫu của tỷ trọng này trong mẫu gộp năm mươi nền là 9,0%. Ngược lại, hai nghiên cứu đơn quốc gia dùng riêng xuất khẩu trực tiếp dựng từ một trường khảo sát: ở Trung Quốc cường độ xuất khẩu là tỷ trọng doanh thu xuất khẩu trực tiếp, còn ở đảo nhỏ Thái Bình Dương cường độ xuất khẩu được dựng từ trường</w:t>
      </w:r>
      <w:r>
        <w:t xml:space="preserve"> </w:t>
      </w:r>
      <w:r>
        <w:rPr>
          <w:rStyle w:val="VerbatimChar"/>
        </w:rPr>
        <w:t xml:space="preserve">d3c</w:t>
      </w:r>
      <w:r>
        <w:t xml:space="preserve"> </w:t>
      </w:r>
      <w:r>
        <w:t xml:space="preserve">chia cho một trăm. Lý do lựa chọn riêng xuất khẩu trực tiếp đã nêu ở Mục 3.3.3.1: xuất khẩu gián tiếp ủy thác chức năng quốc tế hóa cho trung gian thương mại, mang cơ chế học hỏi và yêu cầu nguồn lực khác về bản chất.</w:t>
      </w:r>
    </w:p>
    <w:p>
      <w:pPr>
        <w:pStyle w:val="BodyText"/>
      </w:pPr>
      <w:r>
        <w:t xml:space="preserve">Doanh nghiệp không xuất khẩu nhận giá trị cường độ bằng 0 và được giữ trong mẫu, vì giá trị này phản ánh trạng thái phi xuất khẩu hợp lệ chứ không phải dữ liệu khuyết; điểm uốn của quan hệ do đó được nhận dạng trên toàn mẫu chứ không chỉ trên tập doanh nghiệp xuất khẩu. Quy ước này đặc biệt hệ trọng ở đảo nhỏ Thái Bình Dương, nơi chỉ 132 trong số 959 quan sát phân tích, tương đương 13,8%, là doanh nghiệp có xuất khẩu với cường độ dương: loại bỏ nhóm phi xuất khẩu sẽ làm sụp đổ công suất thống kê và làm sai lệch ước lượng ở biên tham gia.</w:t>
      </w:r>
    </w:p>
    <w:p>
      <w:pPr>
        <w:pStyle w:val="BodyText"/>
      </w:pPr>
      <w:r>
        <w:t xml:space="preserve">Quy ước trung tâm hóa được áp dụng nhất quán nhưng theo hai cấp khác nhau. Ở mẫu gộp đa quốc gia, cường độ xuất khẩu được trung tâm hóa quanh trung bình toàn mẫu trước khi lập bình phương. Ở các nghiên cứu đa đợt, cường độ xuất khẩu được trung tâm hóa trong từng đợt nhằm chặn khác biệt thành phần mẫu giữa các đợt làm nhiễu vị trí điểm uốn. Trung tâm hóa làm giảm tương quan giả tạo giữa số hạng tuyến tính và số hạng bình phương mà không làm dịch chuyển vị trí điểm uốn, vì công thức điểm uốn</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bất biến với phép trung tâm hóa; điểm uốn trên thang trung tâm hóa được quy đổi về thang gốc bằng cách cộng trung bình mẫu, tức</w:t>
      </w:r>
      <w:r>
        <w:t xml:space="preserve"> </w:t>
      </w:r>
      <m:oMath>
        <m:r>
          <m:rPr>
            <m:sty m:val="p"/>
          </m:rPr>
          <m:t>T</m:t>
        </m:r>
        <m:r>
          <m:rPr>
            <m:sty m:val="p"/>
          </m:rPr>
          <m: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rPr>
                <m:sty m:val="p"/>
              </m:rPr>
              <m:t>F</m:t>
            </m:r>
            <m:r>
              <m:rPr>
                <m:sty m:val="p"/>
              </m:rPr>
              <m:t>S</m:t>
            </m:r>
            <m:r>
              <m:rPr>
                <m:sty m:val="p"/>
              </m:rPr>
              <m:t>T</m:t>
            </m:r>
            <m:r>
              <m:rPr>
                <m:sty m:val="p"/>
              </m:rPr>
              <m:t>S</m:t>
            </m:r>
          </m:e>
        </m:bar>
      </m:oMath>
      <w:r>
        <w:t xml:space="preserve">.</w:t>
      </w:r>
    </w:p>
    <w:bookmarkEnd w:id="103"/>
    <w:bookmarkStart w:id="107" w:name="đo-lường-biến-điều-tiết"/>
    <w:p>
      <w:pPr>
        <w:pStyle w:val="Heading3"/>
      </w:pPr>
      <w:r>
        <w:t xml:space="preserve">3.3.4 Đo lường biến điều tiết</w:t>
      </w:r>
    </w:p>
    <w:bookmarkStart w:id="104" w:name="X7d9ea5c42a421e85a30418a1ef2a1fc5a79d461"/>
    <w:p>
      <w:pPr>
        <w:pStyle w:val="Heading4"/>
      </w:pPr>
      <w:r>
        <w:t xml:space="preserve">Các cấu trúc số: năng lực công nghệ (TCI) và chấp nhận số (DAI)</w:t>
      </w:r>
    </w:p>
    <w:p>
      <w:pPr>
        <w:pStyle w:val="FirstParagraph"/>
      </w:pPr>
      <w:r>
        <w:t xml:space="preserve">Luận án phân biệt rõ hai cấu trúc:</w:t>
      </w:r>
    </w:p>
    <w:p>
      <w:pPr>
        <w:numPr>
          <w:ilvl w:val="0"/>
          <w:numId w:val="1007"/>
        </w:numPr>
        <w:pStyle w:val="Compact"/>
      </w:pPr>
      <w:r>
        <w:rPr>
          <w:bCs/>
          <w:b/>
        </w:rPr>
        <w:t xml:space="preserve">Chỉ số năng lực công nghệ</w:t>
      </w:r>
      <w:r>
        <w:t xml:space="preserve"> </w:t>
      </w:r>
      <w:r>
        <w:t xml:space="preserve">(technological capability index,</w:t>
      </w:r>
      <w:r>
        <w:t xml:space="preserve"> </w:t>
      </w:r>
      <m:oMath>
        <m:r>
          <m:rPr>
            <m:sty m:val="p"/>
          </m:rPr>
          <m:t>T</m:t>
        </m:r>
        <m:r>
          <m:rPr>
            <m:sty m:val="p"/>
          </m:rPr>
          <m:t>C</m:t>
        </m:r>
        <m:r>
          <m:rPr>
            <m:sty m:val="p"/>
          </m:rPr>
          <m:t>I</m:t>
        </m:r>
      </m:oMath>
      <w:r>
        <w:t xml:space="preserve">): chiều sâu năng lực công nghệ, tổng hợp từ cấp phép công nghệ nước ngoài, chi tiêu nghiên cứu và phát triển, đổi mới sản phẩm, và chứng nhận chất lượng.</w:t>
      </w:r>
    </w:p>
    <w:p>
      <w:pPr>
        <w:numPr>
          <w:ilvl w:val="0"/>
          <w:numId w:val="1007"/>
        </w:numPr>
        <w:pStyle w:val="Compact"/>
      </w:pPr>
      <w:r>
        <w:rPr>
          <w:bCs/>
          <w:b/>
        </w:rPr>
        <w:t xml:space="preserve">Chỉ số chấp nhận số</w:t>
      </w:r>
      <w:r>
        <w:t xml:space="preserve"> </w:t>
      </w:r>
      <w:r>
        <w:t xml:space="preserve">(digital adoption index,</w:t>
      </w:r>
      <w:r>
        <w:t xml:space="preserve"> </w:t>
      </w:r>
      <m:oMath>
        <m:r>
          <m:rPr>
            <m:sty m:val="p"/>
          </m:rPr>
          <m:t>D</m:t>
        </m:r>
        <m:r>
          <m:rPr>
            <m:sty m:val="p"/>
          </m:rPr>
          <m:t>A</m:t>
        </m:r>
        <m:r>
          <m:rPr>
            <m:sty m:val="p"/>
          </m:rPr>
          <m:t>I</m:t>
        </m:r>
      </m:oMath>
      <w:r>
        <w:t xml:space="preserve">): mức độ chấp nhận số bề mặt, tổng hợp từ website, thư điện tử, bán hàng trực tuyến (</w:t>
      </w:r>
      <m:oMath>
        <m:sSub>
          <m:e>
            <m:r>
              <m:rPr>
                <m:sty m:val="p"/>
              </m:rPr>
              <m:t>D</m:t>
            </m:r>
            <m:r>
              <m:rPr>
                <m:sty m:val="p"/>
              </m:rPr>
              <m:t>A</m:t>
            </m:r>
            <m:r>
              <m:rPr>
                <m:sty m:val="p"/>
              </m:rPr>
              <m:t>I</m:t>
            </m:r>
          </m:e>
          <m:sub>
            <m:r>
              <m:rPr>
                <m:nor/>
                <m:sty m:val="p"/>
              </m:rPr>
              <m:t>thin</m:t>
            </m:r>
          </m:sub>
        </m:sSub>
      </m:oMath>
      <w:r>
        <w:t xml:space="preserve">) hoặc bổ sung thanh toán điện tử và nhà cung cấp điện tử (</w:t>
      </w:r>
      <m:oMath>
        <m:sSub>
          <m:e>
            <m:r>
              <m:rPr>
                <m:sty m:val="p"/>
              </m:rPr>
              <m:t>D</m:t>
            </m:r>
            <m:r>
              <m:rPr>
                <m:sty m:val="p"/>
              </m:rPr>
              <m:t>A</m:t>
            </m:r>
            <m:r>
              <m:rPr>
                <m:sty m:val="p"/>
              </m:rPr>
              <m:t>I</m:t>
            </m:r>
          </m:e>
          <m:sub>
            <m:r>
              <m:rPr>
                <m:nor/>
                <m:sty m:val="p"/>
              </m:rPr>
              <m:t>rich</m:t>
            </m:r>
          </m:sub>
        </m:sSub>
      </m:oMath>
      <w:r>
        <w:t xml:space="preserve">).</w:t>
      </w:r>
    </w:p>
    <w:p>
      <w:pPr>
        <w:pStyle w:val="FirstParagraph"/>
      </w:pPr>
      <w:r>
        <w:rPr>
          <w:bCs/>
          <w:b/>
        </w:rPr>
        <w:t xml:space="preserve">Nguyên tắc không chồng lấn</w:t>
      </w:r>
      <w:r>
        <w:t xml:space="preserve">: TCI và DAI không chia sẻ thành phần chỉ báo để bảo đảm độ thuần cấu trúc. Đặc biệt, cấp phép công nghệ nước ngoài thuộc TCI chứ không được đồng thời tính vào DAI.</w:t>
      </w:r>
    </w:p>
    <w:p>
      <w:pPr>
        <w:pStyle w:val="BodyText"/>
      </w:pPr>
      <w:r>
        <w:rPr>
          <w:bCs/>
          <w:b/>
        </w:rPr>
        <w:t xml:space="preserve">Biến thể đo lường (rút gọn/đầy đủ).</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cấu thành:</w:t>
      </w:r>
    </w:p>
    <w:p>
      <w:pPr>
        <w:numPr>
          <w:ilvl w:val="0"/>
          <w:numId w:val="1008"/>
        </w:numPr>
        <w:pStyle w:val="Compact"/>
      </w:pPr>
      <m:oMath>
        <m:sSub>
          <m:e>
            <m:r>
              <m:rPr>
                <m:sty m:val="p"/>
              </m:rPr>
              <m:t>T</m:t>
            </m:r>
            <m:r>
              <m:rPr>
                <m:sty m:val="p"/>
              </m:rPr>
              <m:t>C</m:t>
            </m:r>
            <m:r>
              <m:rPr>
                <m:sty m:val="p"/>
              </m:rPr>
              <m:t>I</m:t>
            </m:r>
          </m:e>
          <m:sub>
            <m:r>
              <m:rPr>
                <m:nor/>
                <m:sty m:val="p"/>
              </m:rPr>
              <m:t>thin</m:t>
            </m:r>
          </m:sub>
        </m:sSub>
      </m:oMath>
      <w:r>
        <w:t xml:space="preserve"> </w:t>
      </w:r>
      <w:r>
        <w:t xml:space="preserve">= chuẩn hóa z của trung bình hai mục cốt lõi: chứng chỉ chất lượng quốc tế (</w:t>
      </w:r>
      <w:r>
        <w:rPr>
          <w:rStyle w:val="VerbatimChar"/>
        </w:rPr>
        <w:t xml:space="preserve">b8</w:t>
      </w:r>
      <w:r>
        <w:t xml:space="preserve">) và cấp phép công nghệ nước ngoài (</w:t>
      </w:r>
      <w:r>
        <w:rPr>
          <w:rStyle w:val="VerbatimChar"/>
        </w:rPr>
        <w:t xml:space="preserve">e6</w:t>
      </w:r>
      <w:r>
        <w:t xml:space="preserve">). Dùng trong các nghiên cứu Việt Nam (P3), Singapore (P4), đa quốc gia (P7) và đảo nhỏ Thái Bình Dương (P8).</w:t>
      </w:r>
    </w:p>
    <w:p>
      <w:pPr>
        <w:numPr>
          <w:ilvl w:val="0"/>
          <w:numId w:val="1008"/>
        </w:numPr>
        <w:pStyle w:val="Compact"/>
      </w:pPr>
      <m:oMath>
        <m:sSub>
          <m:e>
            <m:r>
              <m:rPr>
                <m:sty m:val="p"/>
              </m:rPr>
              <m:t>T</m:t>
            </m:r>
            <m:r>
              <m:rPr>
                <m:sty m:val="p"/>
              </m:rPr>
              <m:t>C</m:t>
            </m:r>
            <m:r>
              <m:rPr>
                <m:sty m:val="p"/>
              </m:rPr>
              <m:t>I</m:t>
            </m:r>
          </m:e>
          <m:sub>
            <m:r>
              <m:rPr>
                <m:nor/>
                <m:sty m:val="p"/>
              </m:rPr>
              <m:t>full</m:t>
            </m:r>
          </m:sub>
        </m:sSub>
      </m:oMath>
      <w:r>
        <w:t xml:space="preserve"> </w:t>
      </w:r>
      <w:r>
        <w:t xml:space="preserve">= chuẩn hóa z của trung bình bốn mục:</w:t>
      </w:r>
      <w:r>
        <w:t xml:space="preserve"> </w:t>
      </w:r>
      <w:r>
        <w:rPr>
          <w:rStyle w:val="VerbatimChar"/>
        </w:rPr>
        <w:t xml:space="preserve">b8</w:t>
      </w:r>
      <w:r>
        <w:t xml:space="preserve">,</w:t>
      </w:r>
      <w:r>
        <w:t xml:space="preserve"> </w:t>
      </w:r>
      <w:r>
        <w:rPr>
          <w:rStyle w:val="VerbatimChar"/>
        </w:rPr>
        <w:t xml:space="preserve">e6</w:t>
      </w:r>
      <w:r>
        <w:t xml:space="preserve">, đổi mới sản phẩm (</w:t>
      </w:r>
      <w:r>
        <w:rPr>
          <w:rStyle w:val="VerbatimChar"/>
        </w:rPr>
        <w:t xml:space="preserve">h1</w:t>
      </w:r>
      <w:r>
        <w:t xml:space="preserve">), và chi nghiên cứu–phát triển (</w:t>
      </w:r>
      <w:r>
        <w:rPr>
          <w:rStyle w:val="VerbatimChar"/>
        </w:rPr>
        <w:t xml:space="preserve">h8</w:t>
      </w:r>
      <w:r>
        <w:t xml:space="preserve">). Dùng trong nghiên cứu Trung Quốc (P5), nơi cả hai sóng 2012 và 2024 đều có đủ phân hệ đổi mới.</w:t>
      </w:r>
    </w:p>
    <w:p>
      <w:pPr>
        <w:pStyle w:val="FirstParagraph"/>
      </w:pPr>
      <w:r>
        <w:t xml:space="preserve">Bộ mục chính xác của mỗi nghiên cứu thành phần được nêu lại trong bảng định nghĩa biến của nghiên cứu đó (Mục 3.4.5) và Phụ lục A; khác biệt giữa biến thể rút gọn và đầy đủ phản ánh ràng buộc khả dụng dữ liệu khách quan, không phải lựa chọn tùy ý. Vì các mục là chỉ báo nhị phân của cùng một cấu trúc cấu thành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(quy trình xử lý dữ liệu thô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rút gọn nêu trên.</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giai đoạn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giao thức hài hòa hóa đo lường</w:t>
      </w:r>
      <w:r>
        <w:t xml:space="preserve"> </w:t>
      </w:r>
      <w:r>
        <w:t xml:space="preserve">trong bối cảnh WBES, đảm bảo độ thuần cấu trúc ở 50 nền kinh tế châu Á và Thái Bình Dương, với quy trình hòa hợp 3 thế hệ lược đồ. Phân tách TCI và DAI theo (i) Bharadwaj et al. (2013), năng lực công nghệ thông tin so với chiến lược kinh doanh số có mạng quan hệ lý thuyết khác nhau; (ii) phân tầng 3 cấp của Verhoef et al. (2021), số hóa dữ liệu, số hóa quy trình, chuyển đổi số; (iii) truyền thống Lall (1992) và Cohen &amp; Levinthal (1990) coi năng lực công nghệ là chiều sâu năng lực hấp thụ nội tại (absorptive capacity), khác về bản chất với chấp nhận số ở giao diện ngoại tại; (iv) logic điều phối nguồn lực của Bhandari et al. (2023) cho quan hệ quốc tế hóa và hiệu quả; và (v) 4 tiêu chí chỉ số hợp thành cấu thành của Coltman et al. (2008), đảm bảo TCI và DAI là hai chỉ số hợp thành độc lập.</w:t>
      </w:r>
    </w:p>
    <w:bookmarkEnd w:id="104"/>
    <w:bookmarkStart w:id="105" w:name="biến-thể-chế"/>
    <w:p>
      <w:pPr>
        <w:pStyle w:val="Heading4"/>
      </w:pPr>
      <w:r>
        <w:t xml:space="preserve">Biến thể chế</w:t>
      </w:r>
    </w:p>
    <w:p>
      <w:pPr>
        <w:pStyle w:val="FirstParagraph"/>
      </w:pPr>
      <w:r>
        <w:rPr>
          <w:bCs/>
          <w:b/>
        </w:rPr>
        <w:t xml:space="preserve">Biến chính</w:t>
      </w:r>
      <w:r>
        <w:t xml:space="preserve">: chỉ số rào cản kinh doanh (business obstacle index, tổng hợp từ các câu hỏi WBES về rào cản hoạt động), các biến đại diện chất lượng quản trị cấp quốc gia, chỉ số pháp quyền WGI (Kaufmann et al., 2011), và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tổng hợp bằng chứng về các biến điều tiết thể chế.</w:t>
      </w:r>
    </w:p>
    <w:bookmarkEnd w:id="105"/>
    <w:bookmarkStart w:id="106" w:name="đặc-điểm-nhà-quản-trị-cấp-cao"/>
    <w:p>
      <w:pPr>
        <w:pStyle w:val="Heading4"/>
      </w:pPr>
      <w:r>
        <w:t xml:space="preserve">Đặc điểm nhà quản trị cấp cao</w:t>
      </w:r>
    </w:p>
    <w:p>
      <w:pPr>
        <w:pStyle w:val="FirstParagraph"/>
      </w:pPr>
      <w:r>
        <w:rPr>
          <w:bCs/>
          <w:b/>
        </w:rPr>
        <w:t xml:space="preserve">Biến chính</w:t>
      </w:r>
      <w:r>
        <w:t xml:space="preserve">: kinh nghiệm nhà quản trị cấp cao (số năm kinh nghiệm trong ngành) và giới tính nhà quản trị cấp cao (nữ/nam).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106"/>
    <w:bookmarkEnd w:id="107"/>
    <w:bookmarkStart w:id="108"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Bậc 1 ghi nhận hiện diện số bề mặt qua chỉ báo website (trường c22b), một mục nhị phân khả dụng ở hầu hết các đợt khảo sát. Bậc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Bậc 1 (đơn biến nhị phân) dùng ở Việt Nam và đảo nhỏ Thái Bình Dương, biến thể Bậc 1 cộng Bậc 2 dùng ở Singapore và khung đa quốc gia khi trường k33 có mặt, và biến thể thu gọn về Bậc 1 khi trường Bậc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108"/>
    <w:bookmarkStart w:id="109" w:name="X28e768cdab1f6eb217d762f0a95a756504bda1f"/>
    <w:p>
      <w:pPr>
        <w:pStyle w:val="Heading3"/>
      </w:pPr>
      <w:r>
        <w:t xml:space="preserve">3.3.4.2 Ánh xạ mục khảo sát của chỉ số năng lực công nghệ và chỉ số chấp nhận số</w:t>
      </w:r>
    </w:p>
    <w:p>
      <w:pPr>
        <w:pStyle w:val="FirstParagraph"/>
      </w:pPr>
      <w:r>
        <w:t xml:space="preserve">Để bảo đảm tính minh bạch và tái lập, mỗi biến thể của hai chỉ số hợp thành được truy nguyên về đúng bộ mục khảo sát WBES dùng để dựng nó. Biến thể mỏng của chỉ số năng lực công nghệ được dựng từ đúng hai mục nhị phân: chứng chỉ chất lượng được công nhận quốc tế (trường</w:t>
      </w:r>
      <w:r>
        <w:t xml:space="preserve"> </w:t>
      </w:r>
      <w:r>
        <w:rPr>
          <w:rStyle w:val="VerbatimChar"/>
        </w:rPr>
        <w:t xml:space="preserve">b8</w:t>
      </w:r>
      <w:r>
        <w:t xml:space="preserve">) và cấp phép công nghệ nước ngoài (trường</w:t>
      </w:r>
      <w:r>
        <w:t xml:space="preserve"> </w:t>
      </w:r>
      <w:r>
        <w:rPr>
          <w:rStyle w:val="VerbatimChar"/>
        </w:rPr>
        <w:t xml:space="preserve">e6</w:t>
      </w:r>
      <w:r>
        <w:t xml:space="preserve">); giá trị chỉ số là chuẩn hóa z của trung bình hai chỉ báo nhị phân này, xử lý như một chỉ số hợp thành cấu thành. Bộ mục hai trường này được dùng nhất quán ở khung đa quốc gia, ở Việt Nam, Singapore và đảo nhỏ Thái Bình Dương. Biến thể đầy đủ chỉ dùng ở Trung Quốc, nơi cả hai đợt đều có đủ phân hệ đổi mới, mở rộng lên bốn mục để nắm bắt chiều sâu năng lực nội tại phong phú hơn so với biến thể hai mục dùng ở các nghiên cứu khác. Khác biệt giữa biến thể mỏng và đầy đủ phản ánh ràng buộc khả dụng dữ liệu khách quan qua ba thế hệ bảng hỏi chứ không phải lựa chọn tùy ý; vì các mục là chỉ báo nhị phân của cùng một cấu trúc cấu thành, hai biến thể cho kết luận điều tiết nhất quán về dấu, và phần độ vững (Mục 3.5.1) kiểm tra trực tiếp độ nhạy với lựa chọn biến thể.</w:t>
      </w:r>
    </w:p>
    <w:p>
      <w:pPr>
        <w:pStyle w:val="BodyText"/>
      </w:pPr>
      <w:r>
        <w:t xml:space="preserve">Chỉ số chấp nhận số được vận hành hóa theo nguyên tắc phân tầng đã trình bày ở Mục 3.3.4.1, với bộ mục cụ thể cũng được truy nguyên về trường khảo sát. Biến thể Bậc 1 dùng đúng một chỉ báo nhị phân là hiện diện website vận hành (trường</w:t>
      </w:r>
      <w:r>
        <w:t xml:space="preserve"> </w:t>
      </w:r>
      <w:r>
        <w:rPr>
          <w:rStyle w:val="VerbatimChar"/>
        </w:rPr>
        <w:t xml:space="preserve">c22b</w:t>
      </w:r>
      <w:r>
        <w:t xml:space="preserve">); đây là biến thể duy nhất khả dụng ở đảo nhỏ Thái Bình Dương, nơi bộ công cụ không thu thập các mục Bậc 2 thanh toán điện tử và Bậc 3 đám mây/hệ hoạch định nguồn lực doanh nghiệp. Khung đa quốc gia dùng biến thể Bậc 1 cộng Bậc 2 khi trường thanh toán điện tử có mặt và thu gọn về Bậc 1 khi thiếu, đúng như nguyên tắc nhúng tầng theo khả dụng bộ công cụ. Nguyên tắc không chồng lấn được áp đặt nghiêm ngặt: cấp phép công nghệ nước ngoài thuộc chỉ số năng lực công nghệ và không bao giờ được tính đồng thời vào chỉ số chấp nhận số, bảo đảm hai chỉ số là hai cấu trúc độc lập với mạng quan hệ lý thuyết khác nhau. Bộ mục năng lực công nghệ của khung đa quốc gia đã được đối chiếu trực tiếp với mã xây dựng dữ liệu thực tế trên kho năm mươi nền, gồm Nhật Bản 2025, xác nhận biến</w:t>
      </w:r>
      <w:r>
        <w:t xml:space="preserve"> </w:t>
      </w:r>
      <w:r>
        <w:rPr>
          <w:rStyle w:val="VerbatimChar"/>
        </w:rPr>
        <w:t xml:space="preserve">tci_z</w:t>
      </w:r>
      <w:r>
        <w:t xml:space="preserve"> </w:t>
      </w:r>
      <w:r>
        <w:t xml:space="preserve">được dựng đúng từ hai mục</w:t>
      </w:r>
      <w:r>
        <w:t xml:space="preserve"> </w:t>
      </w:r>
      <w:r>
        <w:rPr>
          <w:rStyle w:val="VerbatimChar"/>
        </w:rPr>
        <w:t xml:space="preserve">b8</w:t>
      </w:r>
      <w:r>
        <w:t xml:space="preserve"> </w:t>
      </w:r>
      <w:r>
        <w:t xml:space="preserve">và</w:t>
      </w:r>
      <w:r>
        <w:t xml:space="preserve"> </w:t>
      </w:r>
      <w:r>
        <w:rPr>
          <w:rStyle w:val="VerbatimChar"/>
        </w:rPr>
        <w:t xml:space="preserve">e6</w:t>
      </w:r>
      <w:r>
        <w:t xml:space="preserve">.</w:t>
      </w:r>
    </w:p>
    <w:bookmarkEnd w:id="109"/>
    <w:bookmarkStart w:id="110" w:name="biến-kiểm-soát"/>
    <w:p>
      <w:pPr>
        <w:pStyle w:val="Heading3"/>
      </w:pPr>
      <w:r>
        <w:t xml:space="preserve">3.3.5 Biến kiểm soát</w:t>
      </w:r>
    </w:p>
    <w:p>
      <w:pPr>
        <w:pStyle w:val="FirstParagraph"/>
      </w:pPr>
      <w:r>
        <w:t xml:space="preserve">Khung thực nghiệm đưa vào một tập biến kiểm soát chuẩn trong nghiên cứu dữ liệu doanh nghiệp và kinh doanh quốc tế, nhằm tách hiệu ứng của quốc tế hóa và năng lực khỏi các yếu tố cấu trúc đồng biến với cả cường độ xuất khẩu lẫn năng suất. Quy mô doanh nghiệp được đo bằng logarit tự nhiên của số lao động toàn thời gian (mục l1 của WBES), một biến kiểm soát thiết yếu vì doanh nghiệp lớn vừa có xác suất xuất khẩu cao hơn vừa đạt năng suất cao hơn nhờ lợi thế quy mô; lấy logarit để xử lý phân phối lệch phải đặc trưng của biến quy mô. Tuổi doanh nghiệp được tính bằng số năm từ năm thành lập đến năm khảo sát, kiểm soát hiệu ứng học hỏi tích lũy và hiệu ứng sống sót, theo đó doanh nghiệp tồn tại lâu hơn có thể đã vượt qua các rào cản gia nhập và tích lũy năng lực.</w:t>
      </w:r>
    </w:p>
    <w:p>
      <w:pPr>
        <w:pStyle w:val="BodyText"/>
      </w:pPr>
      <w:r>
        <w:t xml:space="preserve">Sở hữu nước ngoài được đưa vào dưới dạng biến giả nhận giá trị một khi tỷ lệ sở hữu của nhà đầu tư nước ngoài đạt từ 10% trở lên, ngưỡng chuẩn của đầu tư trực tiếp nước ngoài, vì doanh nghiệp có vốn nước ngoài thường tiếp cận mạng lưới quốc tế, công nghệ và thị trường theo cách khác biệt về chất so với doanh nghiệp trong nước. Ngành được kiểm soát bằng hệ biến giả ngành nhằm hấp thụ chênh lệch năng suất và cường độ thương mại có hệ thống giữa các lĩnh vực. Quan trọng nhất, mọi mô hình gộp đều mang hiệu ứng cố định nền kinh tế và hiệu ứng cố định năm: hiệu ứng cố định nền kinh tế hấp thụ mọi khác biệt bất biến theo thời gian giữa các nền kinh tế, gồm mặt bằng giá, chế độ tỷ giá, chất lượng thể chế nền và quy mô thị trường nội địa; hiệu ứng cố định năm hấp thụ các cú sốc vĩ mô chung như chu kỳ kinh tế toàn cầu và biến động thương mại theo năm. Cấu trúc hiệu ứng cố định hai chiều này là then chốt vì nó loại bỏ chính các nhiễu cấp nền kinh tế và cấp thời gian dễ tạo tương quan giả giữa quốc tế hóa và hiệu quả, qua đó cô lập biến thiên trong nội bộ nền kinh tế và năm để nhận dạng quan hệ trọng tâm.</w:t>
      </w:r>
    </w:p>
    <w:p>
      <w:pPr>
        <w:pStyle w:val="BodyText"/>
      </w:pPr>
      <w:r>
        <w:rPr>
          <w:bCs/>
          <w:b/>
        </w:rPr>
        <w:t xml:space="preserve">Cơ sở kế thừa</w:t>
      </w:r>
      <w:r>
        <w:t xml:space="preserve">: tập biến kiểm soát và cấu trúc hiệu ứng cố định tuân theo chuẩn trong nghiên cứu dữ liệu doanh nghiệp WBES và kinh doanh quốc tế (Aterido et al., 2011; Ayyagari et al., 2011).</w:t>
      </w:r>
    </w:p>
    <w:bookmarkEnd w:id="110"/>
    <w:bookmarkStart w:id="111" w:name="X1f43e4ff25e7b357857c1733d81b2a2e478cf99"/>
    <w:p>
      <w:pPr>
        <w:pStyle w:val="Heading3"/>
      </w:pPr>
      <w:r>
        <w:t xml:space="preserve">3.3.5.1 Vận hành hóa chế độ thể chế ICRV và đặc điểm nhà quản trị</w:t>
      </w:r>
    </w:p>
    <w:p>
      <w:pPr>
        <w:pStyle w:val="FirstParagraph"/>
      </w:pPr>
      <w:r>
        <w:t xml:space="preserve">Chế độ thể chế được vận hành hóa thành một biến phân loại số nguyên nhận giá trị từ một đến sáu theo phân loại ICRV, đi từ chế độ tiên tiến đổi mới đến chế độ đảo nhỏ Thái Bình Dương, trật tự tăng dần của số nhóm tương ứng với chất lượng thể chế giảm dần. Biến này được dùng theo hai vai trò trong khung đa quốc gia: làm biến điều tiết liên tục trong mô hình tương tác, nơi hiệu ứng chính của nó bị hấp thụ bởi hiệu ứng cố định nền kinh tế, và làm biến phân nhóm cho phân tích điểm uốn theo từng chế độ. Lựa chọn xử lý ICRV như biến số nguyên liên tục thay vì hệ biến giả là có chủ đích, nhằm giữ cỡ mẫu đủ lớn trong các mô hình điều tiết và ba chiều, nơi việc tách thành sáu biến giả tương tác sẽ làm phân mảnh mẫu và làm bất ổn ước lượng.</w:t>
      </w:r>
    </w:p>
    <w:p>
      <w:pPr>
        <w:pStyle w:val="BodyText"/>
      </w:pPr>
      <w:r>
        <w:t xml:space="preserve">Phân tích điểm uốn theo từng chế độ làm lộ rõ cấu trúc ba vùng đặc trưng của khu vực. Ở chế độ chuyển đổi thu nhập trung bình–thấp, vốn là chế độ neo ước lượng gộp, quan hệ chữ U ngược định hình sắc nét với điểm uốn quanh 43%. Ở chế độ tiên tiến đổi mới, gồm cả Nhật Bản, điểm uốn nằm gần hoặc vượt biên dữ liệu quan sát nên trong vùng dữ liệu quan hệ gần như tuyến tính dương, với điểm uốn xấp xỉ 80%. Ở các chế độ yếu nhất, chữ U ngược mất cấu trúc; riêng ở chế độ đảo nhỏ Thái Bình Dương số hạng bậc hai đổi dấu, không còn cực đại nội miền, nhất quán với gánh nặng quốc tế hóa bắt buộc ghi nhận ở nghiên cứu thành phần đảo nhỏ.</w:t>
      </w:r>
    </w:p>
    <w:p>
      <w:pPr>
        <w:pStyle w:val="BodyText"/>
      </w:pPr>
      <w:r>
        <w:t xml:space="preserve">Đặc điểm nhà quản trị cấp cao được vận hành hóa từ hai mục khảo sát: số năm kinh nghiệm của nhà quản trị cấp cao trong ngành (trường</w:t>
      </w:r>
      <w:r>
        <w:t xml:space="preserve"> </w:t>
      </w:r>
      <w:r>
        <w:rPr>
          <w:rStyle w:val="VerbatimChar"/>
        </w:rPr>
        <w:t xml:space="preserve">b7</w:t>
      </w:r>
      <w:r>
        <w:t xml:space="preserve">) và một biến nhị phân chỉ nhà quản trị cấp cao là nữ (trường</w:t>
      </w:r>
      <w:r>
        <w:t xml:space="preserve"> </w:t>
      </w:r>
      <w:r>
        <w:rPr>
          <w:rStyle w:val="VerbatimChar"/>
        </w:rPr>
        <w:t xml:space="preserve">b7a</w:t>
      </w:r>
      <w:r>
        <w:t xml:space="preserve"> </w:t>
      </w:r>
      <w:r>
        <w:t xml:space="preserve">hoặc</w:t>
      </w:r>
      <w:r>
        <w:t xml:space="preserve"> </w:t>
      </w:r>
      <w:r>
        <w:rPr>
          <w:rStyle w:val="VerbatimChar"/>
        </w:rPr>
        <w:t xml:space="preserve">b6a</w:t>
      </w:r>
      <w:r>
        <w:t xml:space="preserve"> </w:t>
      </w:r>
      <w:r>
        <w:t xml:space="preserve">tùy đợt). Hai biến này được đưa vào mô hình đa quốc gia để kiểm định hiệu ứng trực tiếp và hiệu ứng điều tiết của đặc điểm quản trị lên hình dạng đường quan hệ; ở các nghiên cứu thiếu dữ liệu quản trị, hai biến chỉ được dùng trong phân tích độ vững chứ không bắt buộc trong mô hình chính, đúng điều kiện sử dụng đã nêu.</w:t>
      </w:r>
    </w:p>
    <w:bookmarkEnd w:id="111"/>
    <w:bookmarkStart w:id="112" w:name="tổng-hợp-biến-nghiên-cứu"/>
    <w:p>
      <w:pPr>
        <w:pStyle w:val="Heading3"/>
      </w:pPr>
      <w:r>
        <w:t xml:space="preserve">3.3.6 Tổng hợp biến nghiên cứu</w:t>
      </w:r>
    </w:p>
    <w:p>
      <w:pPr>
        <w:pStyle w:val="FirstParagraph"/>
      </w:pPr>
      <w:r>
        <w:t xml:space="preserve">Toàn bộ biến của khung thực nghiệm được tổng hợp trong Bảng 3.1, nêu rõ với mỗi biến: vai trò trong mô hình, ký hiệu, trường khảo sát WBES nguồn, cách vận hành hóa và giả thuyết liên quan. Bảng này bảo đảm tính minh bạch đo lường và khả năng tái lập (Aguinis et al., 2019); chi tiết vận hành hóa theo từng nghiên cứu thành phần được trình bày trong các bảng định nghĩa biến ở Mục 3.4.5. Để thuận tiện cho việc đối chiếu, hai bảng kiểm minh bạch của Aguinis et al. (2019) được luận án xử lý ở các vị trí sau: thiết kế nghiên cứu và cấu trúc thời gian ở Mục 3.1 và Phụ lục A.1, A.6; quy trình chọn mẫu ở Phụ lục A.2; quản lý dữ liệu khuyết ở Phụ lục A.9; xử lý giá trị ngoại lai ở Mục 3.5.3; biến đổi dữ liệu ở Mục 3.3.2.1; và quy trình tái lập kèm cỡ mẫu còn lại ở từng bước ở Phụ lục A.3.</w:t>
      </w:r>
    </w:p>
    <w:p>
      <w:pPr>
        <w:pStyle w:val="BodyText"/>
      </w:pPr>
      <w:r>
        <w:rPr>
          <w:bCs/>
          <w:b/>
        </w:rPr>
        <w:t xml:space="preserve">Bảng 3.1.</w:t>
      </w:r>
      <w:r>
        <w:t xml:space="preserve"> </w:t>
      </w:r>
      <w:r>
        <w:rPr>
          <w:iCs/>
          <w:i/>
        </w:rPr>
        <w:t xml:space="preserve">Tổng hợp biến nghiên cứu của khung thực nghiệm đa quốc gia.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Vai trò</w:t>
            </w:r>
          </w:p>
        </w:tc>
        <w:tc>
          <w:tcPr/>
          <w:p>
            <w:pPr>
              <w:pStyle w:val="Compact"/>
              <w:jc w:val="left"/>
            </w:pPr>
            <w:r>
              <w:t xml:space="preserve">Biến (ký hiệu)</w:t>
            </w:r>
          </w:p>
        </w:tc>
        <w:tc>
          <w:tcPr/>
          <w:p>
            <w:pPr>
              <w:pStyle w:val="Compact"/>
              <w:jc w:val="left"/>
            </w:pPr>
            <w:r>
              <w:t xml:space="preserve">Trường WBES</w:t>
            </w:r>
          </w:p>
        </w:tc>
        <w:tc>
          <w:tcPr/>
          <w:p>
            <w:pPr>
              <w:pStyle w:val="Compact"/>
              <w:jc w:val="left"/>
            </w:pPr>
            <w:r>
              <w:t xml:space="preserve">Vận hành hóa</w:t>
            </w:r>
          </w:p>
        </w:tc>
        <w:tc>
          <w:tcPr/>
          <w:p>
            <w:pPr>
              <w:pStyle w:val="Compact"/>
              <w:jc w:val="left"/>
            </w:pPr>
            <w:r>
              <w:t xml:space="preserve">Giả thuyết</w:t>
            </w:r>
          </w:p>
        </w:tc>
      </w:tr>
      <w:tr>
        <w:tc>
          <w:tcPr/>
          <w:p>
            <w:pPr>
              <w:pStyle w:val="Compact"/>
              <w:jc w:val="left"/>
            </w:pPr>
            <w:r>
              <w:t xml:space="preserve">Biến phụ thuộc</w:t>
            </w:r>
          </w:p>
        </w:tc>
        <w:tc>
          <w:tcPr/>
          <w:p>
            <w:pPr>
              <w:pStyle w:val="Compact"/>
              <w:jc w:val="left"/>
            </w:pPr>
            <w:r>
              <w:t xml:space="preserve">Năng suất lao động, ln(LP)</w:t>
            </w:r>
          </w:p>
        </w:tc>
        <w:tc>
          <w:tcPr/>
          <w:p>
            <w:pPr>
              <w:pStyle w:val="Compact"/>
              <w:jc w:val="left"/>
            </w:pPr>
            <w:r>
              <w:rPr>
                <w:rStyle w:val="VerbatimChar"/>
              </w:rPr>
              <w:t xml:space="preserve">d2</w:t>
            </w:r>
            <w:r>
              <w:t xml:space="preserve">,</w:t>
            </w:r>
            <w:r>
              <w:t xml:space="preserve"> </w:t>
            </w:r>
            <w:r>
              <w:rPr>
                <w:rStyle w:val="VerbatimChar"/>
              </w:rPr>
              <w:t xml:space="preserve">l1</w:t>
            </w:r>
          </w:p>
        </w:tc>
        <w:tc>
          <w:tcPr/>
          <w:p>
            <w:pPr>
              <w:pStyle w:val="Compact"/>
              <w:jc w:val="left"/>
            </w:pPr>
            <w:r>
              <w:t xml:space="preserve">Logarit tự nhiên của doanh thu trên số lao động thường xuyên</w:t>
            </w:r>
          </w:p>
        </w:tc>
        <w:tc>
          <w:tcPr/>
          <w:p>
            <w:pPr>
              <w:pStyle w:val="Compact"/>
              <w:jc w:val="left"/>
            </w:pPr>
            <w:r>
              <w:t xml:space="preserve">—</w:t>
            </w:r>
          </w:p>
        </w:tc>
      </w:tr>
      <w:tr>
        <w:tc>
          <w:tcPr/>
          <w:p>
            <w:pPr>
              <w:pStyle w:val="Compact"/>
              <w:jc w:val="left"/>
            </w:pPr>
            <w:r>
              <w:t xml:space="preserve">Biến độc lập</w:t>
            </w:r>
          </w:p>
        </w:tc>
        <w:tc>
          <w:tcPr/>
          <w:p>
            <w:pPr>
              <w:pStyle w:val="Compact"/>
              <w:jc w:val="left"/>
            </w:pPr>
            <w:r>
              <w:t xml:space="preserve">Cường độ xuất khẩu (FSTS)</w:t>
            </w:r>
          </w:p>
        </w:tc>
        <w:tc>
          <w:tcPr/>
          <w:p>
            <w:pPr>
              <w:pStyle w:val="Compact"/>
              <w:jc w:val="left"/>
            </w:pPr>
            <w:r>
              <w:rPr>
                <w:rStyle w:val="VerbatimChar"/>
              </w:rPr>
              <w:t xml:space="preserve">d3c</w:t>
            </w:r>
            <w:r>
              <w:t xml:space="preserve"> </w:t>
            </w:r>
            <w:r>
              <w:t xml:space="preserve">(và</w:t>
            </w:r>
            <w:r>
              <w:t xml:space="preserve"> </w:t>
            </w:r>
            <w:r>
              <w:rPr>
                <w:rStyle w:val="VerbatimChar"/>
              </w:rPr>
              <w:t xml:space="preserve">d3b</w:t>
            </w:r>
            <w:r>
              <w:t xml:space="preserve">)</w:t>
            </w:r>
          </w:p>
        </w:tc>
        <w:tc>
          <w:tcPr/>
          <w:p>
            <w:pPr>
              <w:pStyle w:val="Compact"/>
              <w:jc w:val="left"/>
            </w:pPr>
            <w:r>
              <w:t xml:space="preserve">Tỷ lệ doanh thu nước ngoài trên tổng doanh thu (0–1), trung tâm hóa</w:t>
            </w:r>
          </w:p>
        </w:tc>
        <w:tc>
          <w:tcPr/>
          <w:p>
            <w:pPr>
              <w:pStyle w:val="Compact"/>
              <w:jc w:val="left"/>
            </w:pPr>
            <w:r>
              <w:t xml:space="preserve">H1</w:t>
            </w:r>
          </w:p>
        </w:tc>
      </w:tr>
      <w:tr>
        <w:tc>
          <w:tcPr/>
          <w:p>
            <w:pPr>
              <w:pStyle w:val="Compact"/>
              <w:jc w:val="left"/>
            </w:pPr>
            <w:r>
              <w:t xml:space="preserve">Biến độc lập</w:t>
            </w:r>
          </w:p>
        </w:tc>
        <w:tc>
          <w:tcPr/>
          <w:p>
            <w:pPr>
              <w:pStyle w:val="Compact"/>
              <w:jc w:val="left"/>
            </w:pPr>
            <w:r>
              <w:t xml:space="preserve">FSTS bình phương (</w:t>
            </w:r>
            <m:oMath>
              <m:sSup>
                <m:e>
                  <m:r>
                    <m:rPr>
                      <m:nor/>
                      <m:sty m:val="p"/>
                    </m:rPr>
                    <m:t>FSTS</m:t>
                  </m:r>
                </m:e>
                <m:sup>
                  <m:r>
                    <m:t>2</m:t>
                  </m:r>
                </m:sup>
              </m:sSup>
            </m:oMath>
            <w:r>
              <w:t xml:space="preserve">)</w:t>
            </w:r>
          </w:p>
        </w:tc>
        <w:tc>
          <w:tcPr/>
          <w:p>
            <w:pPr>
              <w:pStyle w:val="Compact"/>
              <w:jc w:val="left"/>
            </w:pPr>
            <w:r>
              <w:t xml:space="preserve">(suy ra)</w:t>
            </w:r>
          </w:p>
        </w:tc>
        <w:tc>
          <w:tcPr/>
          <w:p>
            <w:pPr>
              <w:pStyle w:val="Compact"/>
              <w:jc w:val="left"/>
            </w:pPr>
            <w:r>
              <w:t xml:space="preserve">Bình phương của FSTS đã trung tâm hóa, kiểm định phi tuyến</w:t>
            </w:r>
          </w:p>
        </w:tc>
        <w:tc>
          <w:tcPr/>
          <w:p>
            <w:pPr>
              <w:pStyle w:val="Compact"/>
              <w:jc w:val="left"/>
            </w:pPr>
            <w:r>
              <w:t xml:space="preserve">H1, H1b</w:t>
            </w:r>
          </w:p>
        </w:tc>
      </w:tr>
      <w:tr>
        <w:tc>
          <w:tcPr/>
          <w:p>
            <w:pPr>
              <w:pStyle w:val="Compact"/>
              <w:jc w:val="left"/>
            </w:pPr>
            <w:r>
              <w:t xml:space="preserve">Điều tiết – tầng doanh nghiệp</w:t>
            </w:r>
          </w:p>
        </w:tc>
        <w:tc>
          <w:tcPr/>
          <w:p>
            <w:pPr>
              <w:pStyle w:val="Compact"/>
              <w:jc w:val="left"/>
            </w:pPr>
            <w:r>
              <w:t xml:space="preserve">Năng lực công nghệ (TCI)</w:t>
            </w:r>
          </w:p>
        </w:tc>
        <w:tc>
          <w:tcPr/>
          <w:p>
            <w:pPr>
              <w:pStyle w:val="Compact"/>
              <w:jc w:val="left"/>
            </w:pPr>
            <w:r>
              <w:rPr>
                <w:rStyle w:val="VerbatimChar"/>
              </w:rPr>
              <w:t xml:space="preserve">b8</w:t>
            </w:r>
            <w:r>
              <w:t xml:space="preserve">,</w:t>
            </w:r>
            <w:r>
              <w:t xml:space="preserve"> </w:t>
            </w:r>
            <w:r>
              <w:rPr>
                <w:rStyle w:val="VerbatimChar"/>
              </w:rPr>
              <w:t xml:space="preserve">e6</w:t>
            </w:r>
          </w:p>
        </w:tc>
        <w:tc>
          <w:tcPr/>
          <w:p>
            <w:pPr>
              <w:pStyle w:val="Compact"/>
              <w:jc w:val="left"/>
            </w:pPr>
            <w:r>
              <w:t xml:space="preserve">Chỉ số hợp thành chuẩn hóa z (chứng chỉ chất lượng + công nghệ ngoại nhập)</w:t>
            </w:r>
          </w:p>
        </w:tc>
        <w:tc>
          <w:tcPr/>
          <w:p>
            <w:pPr>
              <w:pStyle w:val="Compact"/>
              <w:jc w:val="left"/>
            </w:pPr>
            <w:r>
              <w:t xml:space="preserve">H2</w:t>
            </w:r>
          </w:p>
        </w:tc>
      </w:tr>
      <w:tr>
        <w:tc>
          <w:tcPr/>
          <w:p>
            <w:pPr>
              <w:pStyle w:val="Compact"/>
              <w:jc w:val="left"/>
            </w:pPr>
            <w:r>
              <w:t xml:space="preserve">Điều tiết – tầng doanh nghiệp</w:t>
            </w:r>
          </w:p>
        </w:tc>
        <w:tc>
          <w:tcPr/>
          <w:p>
            <w:pPr>
              <w:pStyle w:val="Compact"/>
              <w:jc w:val="left"/>
            </w:pPr>
            <w:r>
              <w:t xml:space="preserve">Chấp nhận số (DAI)</w:t>
            </w:r>
          </w:p>
        </w:tc>
        <w:tc>
          <w:tcPr/>
          <w:p>
            <w:pPr>
              <w:pStyle w:val="Compact"/>
              <w:jc w:val="left"/>
            </w:pPr>
            <w:r>
              <w:rPr>
                <w:rStyle w:val="VerbatimChar"/>
              </w:rPr>
              <w:t xml:space="preserve">c22b</w:t>
            </w:r>
            <w:r>
              <w:t xml:space="preserve">,</w:t>
            </w:r>
            <w:r>
              <w:t xml:space="preserve"> </w:t>
            </w:r>
            <w:r>
              <w:rPr>
                <w:rStyle w:val="VerbatimChar"/>
              </w:rPr>
              <w:t xml:space="preserve">k33</w:t>
            </w:r>
            <w:r>
              <w:t xml:space="preserve">/</w:t>
            </w:r>
            <w:r>
              <w:rPr>
                <w:rStyle w:val="VerbatimChar"/>
              </w:rPr>
              <w:t xml:space="preserve">k38</w:t>
            </w:r>
          </w:p>
        </w:tc>
        <w:tc>
          <w:tcPr/>
          <w:p>
            <w:pPr>
              <w:pStyle w:val="Compact"/>
              <w:jc w:val="left"/>
            </w:pPr>
            <w:r>
              <w:t xml:space="preserve">Bậc 1: website (nhị phân); Bậc 2: hợp thành z (website + thanh toán điện tử)</w:t>
            </w:r>
          </w:p>
        </w:tc>
        <w:tc>
          <w:tcPr/>
          <w:p>
            <w:pPr>
              <w:pStyle w:val="Compact"/>
              <w:jc w:val="left"/>
            </w:pPr>
            <w:r>
              <w:t xml:space="preserve">H3</w:t>
            </w:r>
          </w:p>
        </w:tc>
      </w:tr>
      <w:tr>
        <w:tc>
          <w:tcPr/>
          <w:p>
            <w:pPr>
              <w:pStyle w:val="Compact"/>
              <w:jc w:val="left"/>
            </w:pPr>
            <w:r>
              <w:t xml:space="preserve">Điều tiết – tầng cá nhân</w:t>
            </w:r>
          </w:p>
        </w:tc>
        <w:tc>
          <w:tcPr/>
          <w:p>
            <w:pPr>
              <w:pStyle w:val="Compact"/>
              <w:jc w:val="left"/>
            </w:pPr>
            <w:r>
              <w:t xml:space="preserve">Kinh nghiệm nhà quản trị</w:t>
            </w:r>
          </w:p>
        </w:tc>
        <w:tc>
          <w:tcPr/>
          <w:p>
            <w:pPr>
              <w:pStyle w:val="Compact"/>
              <w:jc w:val="left"/>
            </w:pPr>
            <w:r>
              <w:rPr>
                <w:rStyle w:val="VerbatimChar"/>
              </w:rPr>
              <w:t xml:space="preserve">b7</w:t>
            </w:r>
          </w:p>
        </w:tc>
        <w:tc>
          <w:tcPr/>
          <w:p>
            <w:pPr>
              <w:pStyle w:val="Compact"/>
              <w:jc w:val="left"/>
            </w:pPr>
            <w:r>
              <w:t xml:space="preserve">Số năm kinh nghiệm của nhà quản trị cấp cao trong ngành</w:t>
            </w:r>
          </w:p>
        </w:tc>
        <w:tc>
          <w:tcPr/>
          <w:p>
            <w:pPr>
              <w:pStyle w:val="Compact"/>
              <w:jc w:val="left"/>
            </w:pPr>
            <w:r>
              <w:t xml:space="preserve">H4</w:t>
            </w:r>
          </w:p>
        </w:tc>
      </w:tr>
      <w:tr>
        <w:tc>
          <w:tcPr/>
          <w:p>
            <w:pPr>
              <w:pStyle w:val="Compact"/>
              <w:jc w:val="left"/>
            </w:pPr>
            <w:r>
              <w:t xml:space="preserve">Điều tiết – tầng cá nhân</w:t>
            </w:r>
          </w:p>
        </w:tc>
        <w:tc>
          <w:tcPr/>
          <w:p>
            <w:pPr>
              <w:pStyle w:val="Compact"/>
              <w:jc w:val="left"/>
            </w:pPr>
            <w:r>
              <w:t xml:space="preserve">Giới tính nhà quản trị</w:t>
            </w:r>
          </w:p>
        </w:tc>
        <w:tc>
          <w:tcPr/>
          <w:p>
            <w:pPr>
              <w:pStyle w:val="Compact"/>
              <w:jc w:val="left"/>
            </w:pPr>
            <w:r>
              <w:rPr>
                <w:rStyle w:val="VerbatimChar"/>
              </w:rPr>
              <w:t xml:space="preserve">b7a</w:t>
            </w:r>
            <w:r>
              <w:t xml:space="preserve">/</w:t>
            </w:r>
            <w:r>
              <w:rPr>
                <w:rStyle w:val="VerbatimChar"/>
              </w:rPr>
              <w:t xml:space="preserve">b6a</w:t>
            </w:r>
          </w:p>
        </w:tc>
        <w:tc>
          <w:tcPr/>
          <w:p>
            <w:pPr>
              <w:pStyle w:val="Compact"/>
              <w:jc w:val="left"/>
            </w:pPr>
            <w:r>
              <w:t xml:space="preserve">Biến nhị phân: nhà quản trị cấp cao là nữ</w:t>
            </w:r>
          </w:p>
        </w:tc>
        <w:tc>
          <w:tcPr/>
          <w:p>
            <w:pPr>
              <w:pStyle w:val="Compact"/>
              <w:jc w:val="left"/>
            </w:pPr>
            <w:r>
              <w:t xml:space="preserve">H4</w:t>
            </w:r>
          </w:p>
        </w:tc>
      </w:tr>
      <w:tr>
        <w:tc>
          <w:tcPr/>
          <w:p>
            <w:pPr>
              <w:pStyle w:val="Compact"/>
              <w:jc w:val="left"/>
            </w:pPr>
            <w:r>
              <w:t xml:space="preserve">Điều tiết – tầng quốc gia</w:t>
            </w:r>
          </w:p>
        </w:tc>
        <w:tc>
          <w:tcPr/>
          <w:p>
            <w:pPr>
              <w:pStyle w:val="Compact"/>
              <w:jc w:val="left"/>
            </w:pPr>
            <w:r>
              <w:t xml:space="preserve">Chế độ thể chế (ICRV)</w:t>
            </w:r>
          </w:p>
        </w:tc>
        <w:tc>
          <w:tcPr/>
          <w:p>
            <w:pPr>
              <w:pStyle w:val="Compact"/>
              <w:jc w:val="left"/>
            </w:pPr>
            <w:r>
              <w:t xml:space="preserve">(phân loại)</w:t>
            </w:r>
          </w:p>
        </w:tc>
        <w:tc>
          <w:tcPr/>
          <w:p>
            <w:pPr>
              <w:pStyle w:val="Compact"/>
              <w:jc w:val="left"/>
            </w:pPr>
            <w:r>
              <w:t xml:space="preserve">Biến số nguyên 1–6 theo khung ICRV (thể chế giảm dần)</w:t>
            </w:r>
          </w:p>
        </w:tc>
        <w:tc>
          <w:tcPr/>
          <w:p>
            <w:pPr>
              <w:pStyle w:val="Compact"/>
              <w:jc w:val="left"/>
            </w:pPr>
            <w:r>
              <w:t xml:space="preserve">H5</w:t>
            </w:r>
          </w:p>
        </w:tc>
      </w:tr>
      <w:tr>
        <w:tc>
          <w:tcPr/>
          <w:p>
            <w:pPr>
              <w:pStyle w:val="Compact"/>
              <w:jc w:val="left"/>
            </w:pPr>
            <w:r>
              <w:t xml:space="preserve">Điều tiết – thời gian</w:t>
            </w:r>
          </w:p>
        </w:tc>
        <w:tc>
          <w:tcPr/>
          <w:p>
            <w:pPr>
              <w:pStyle w:val="Compact"/>
              <w:jc w:val="left"/>
            </w:pPr>
            <w:r>
              <w:t xml:space="preserve">Đợt khảo sát</w:t>
            </w:r>
          </w:p>
        </w:tc>
        <w:tc>
          <w:tcPr/>
          <w:p>
            <w:pPr>
              <w:pStyle w:val="Compact"/>
              <w:jc w:val="left"/>
            </w:pPr>
            <w:r>
              <w:t xml:space="preserve">(năm khảo sát)</w:t>
            </w:r>
          </w:p>
        </w:tc>
        <w:tc>
          <w:tcPr/>
          <w:p>
            <w:pPr>
              <w:pStyle w:val="Compact"/>
              <w:jc w:val="left"/>
            </w:pPr>
            <w:r>
              <w:t xml:space="preserve">Biến giả đợt/năm; kiểm định ổn định hệ số Paternoster</w:t>
            </w:r>
          </w:p>
        </w:tc>
        <w:tc>
          <w:tcPr/>
          <w:p>
            <w:pPr>
              <w:pStyle w:val="Compact"/>
              <w:jc w:val="left"/>
            </w:pPr>
            <w:r>
              <w:t xml:space="preserve">H6</w:t>
            </w:r>
          </w:p>
        </w:tc>
      </w:tr>
      <w:tr>
        <w:tc>
          <w:tcPr/>
          <w:p>
            <w:pPr>
              <w:pStyle w:val="Compact"/>
              <w:jc w:val="left"/>
            </w:pPr>
            <w:r>
              <w:t xml:space="preserve">Kiểm soát</w:t>
            </w:r>
          </w:p>
        </w:tc>
        <w:tc>
          <w:tcPr/>
          <w:p>
            <w:pPr>
              <w:pStyle w:val="Compact"/>
              <w:jc w:val="left"/>
            </w:pPr>
            <w:r>
              <w:t xml:space="preserve">Quy mô doanh nghiệp</w:t>
            </w:r>
          </w:p>
        </w:tc>
        <w:tc>
          <w:tcPr/>
          <w:p>
            <w:pPr>
              <w:pStyle w:val="Compact"/>
              <w:jc w:val="left"/>
            </w:pPr>
            <w:r>
              <w:rPr>
                <w:rStyle w:val="VerbatimChar"/>
              </w:rPr>
              <w:t xml:space="preserve">l1</w:t>
            </w:r>
          </w:p>
        </w:tc>
        <w:tc>
          <w:tcPr/>
          <w:p>
            <w:pPr>
              <w:pStyle w:val="Compact"/>
              <w:jc w:val="left"/>
            </w:pPr>
            <w:r>
              <w:t xml:space="preserve">Logarit số lao động thường xuyên</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Tuổi doanh nghiệp</w:t>
            </w:r>
          </w:p>
        </w:tc>
        <w:tc>
          <w:tcPr/>
          <w:p>
            <w:pPr>
              <w:pStyle w:val="Compact"/>
              <w:jc w:val="left"/>
            </w:pPr>
            <w:r>
              <w:rPr>
                <w:rStyle w:val="VerbatimChar"/>
              </w:rPr>
              <w:t xml:space="preserve">b5</w:t>
            </w:r>
          </w:p>
        </w:tc>
        <w:tc>
          <w:tcPr/>
          <w:p>
            <w:pPr>
              <w:pStyle w:val="Compact"/>
              <w:jc w:val="left"/>
            </w:pPr>
            <w:r>
              <w:t xml:space="preserve">Năm khảo sát trừ năm thành lập</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Sở hữu nước ngoài</w:t>
            </w:r>
          </w:p>
        </w:tc>
        <w:tc>
          <w:tcPr/>
          <w:p>
            <w:pPr>
              <w:pStyle w:val="Compact"/>
              <w:jc w:val="left"/>
            </w:pPr>
            <w:r>
              <w:rPr>
                <w:rStyle w:val="VerbatimChar"/>
              </w:rPr>
              <w:t xml:space="preserve">b2b</w:t>
            </w:r>
          </w:p>
        </w:tc>
        <w:tc>
          <w:tcPr/>
          <w:p>
            <w:pPr>
              <w:pStyle w:val="Compact"/>
              <w:jc w:val="left"/>
            </w:pPr>
            <w:r>
              <w:t xml:space="preserve">Tỷ lệ vốn sở hữu nước ngoài (hoặc biến nhị phân $</w:t>
            </w:r>
            <w:r>
              <w:t xml:space="preserve">$10%)</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Hiệu ứng cố định</w:t>
            </w:r>
          </w:p>
        </w:tc>
        <w:tc>
          <w:tcPr/>
          <w:p>
            <w:pPr>
              <w:pStyle w:val="Compact"/>
              <w:jc w:val="left"/>
            </w:pPr>
            <w:r>
              <w:t xml:space="preserve">—</w:t>
            </w:r>
          </w:p>
        </w:tc>
        <w:tc>
          <w:tcPr/>
          <w:p>
            <w:pPr>
              <w:pStyle w:val="Compact"/>
              <w:jc w:val="left"/>
            </w:pPr>
            <w:r>
              <w:t xml:space="preserve">Ngành (FE), nền kinh tế (FE), năm (FE)</w:t>
            </w:r>
          </w:p>
        </w:tc>
        <w:tc>
          <w:tcPr/>
          <w:p>
            <w:pPr>
              <w:pStyle w:val="Compact"/>
              <w:jc w:val="left"/>
            </w:pPr>
            <w:r>
              <w:t xml:space="preserve">—</w:t>
            </w:r>
          </w:p>
        </w:tc>
      </w:tr>
    </w:tbl>
    <w:p>
      <w:pPr>
        <w:pStyle w:val="BodyText"/>
      </w:pPr>
      <w:r>
        <w:rPr>
          <w:iCs/>
          <w:i/>
        </w:rPr>
        <w:t xml:space="preserve">Ghi chú: trường WBES tham chiếu mã biến của bộ công cụ khảo sát; một số mã thay đổi theo thế hệ lược đồ (PICS3 / Standardized / BREADY) và được hài hòa hóa theo Phụ lục A. Vận hành hóa chi tiết theo từng nghiên cứu thành phần xem Mục 3.4.5. Nguồn: tác giả tổng hợp.</w:t>
      </w:r>
    </w:p>
    <w:bookmarkEnd w:id="112"/>
    <w:bookmarkEnd w:id="113"/>
    <w:bookmarkStart w:id="134" w:name="mô-hình-phân-tích"/>
    <w:p>
      <w:pPr>
        <w:pStyle w:val="Heading2"/>
      </w:pPr>
      <w:r>
        <w:t xml:space="preserve">3.4 Mô hình phân tích</w:t>
      </w:r>
    </w:p>
    <w:bookmarkStart w:id="114" w:name="mô-hình-phân-tích-tổng-hợp"/>
    <w:p>
      <w:pPr>
        <w:pStyle w:val="Heading3"/>
      </w:pPr>
      <w:r>
        <w:t xml:space="preserve">3.4.1 Mô hình phân tích tổng hợp</w:t>
      </w:r>
    </w:p>
    <w:p>
      <w:pPr>
        <w:pStyle w:val="FirstParagraph"/>
      </w:pPr>
      <w:r>
        <w:t xml:space="preserve">Mô hình hiệu ứng ngẫu nhiên dựa trên phép biến đổi</w:t>
      </w:r>
      <w:r>
        <w:t xml:space="preserve"> </w:t>
      </w:r>
      <m:oMath>
        <m:r>
          <m:t>z</m:t>
        </m:r>
      </m:oMath>
      <w:r>
        <w:t xml:space="preserve"> </w:t>
      </w:r>
      <w:r>
        <w:t xml:space="preserve">của Fisher:</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cỡ ảnh hưởng của nghiên cứu</w:t>
      </w:r>
      <w:r>
        <w:t xml:space="preserve"> </w:t>
      </w:r>
      <m:oMath>
        <m:r>
          <m:t>i</m:t>
        </m:r>
      </m:oMath>
      <w:r>
        <w:t xml:space="preserve">. Cỡ ảnh hưởng gộp được tính theo trọng số nghịch đảo phương sai (Borenstein et al., 2009).</w:t>
      </w:r>
    </w:p>
    <w:p>
      <w:pPr>
        <w:pStyle w:val="BodyText"/>
      </w:pPr>
      <w:r>
        <w:t xml:space="preserve">Dị biệt được đo bằng kiểm định</w:t>
      </w:r>
      <w:r>
        <w:t xml:space="preserve"> </w:t>
      </w:r>
      <m:oMath>
        <m:r>
          <m:t>Q</m:t>
        </m:r>
      </m:oMath>
      <w:r>
        <w:t xml:space="preserve"> </w:t>
      </w:r>
      <w:r>
        <w:t xml:space="preserve">và chỉ số</w:t>
      </w:r>
      <w:r>
        <w:t xml:space="preserve"> </w:t>
      </w:r>
      <m:oMath>
        <m:sSup>
          <m:e>
            <m:r>
              <m:t>I</m:t>
            </m:r>
          </m:e>
          <m:sup>
            <m:r>
              <m:t>2</m:t>
            </m:r>
          </m:sup>
        </m:sSup>
      </m:oMath>
      <w:r>
        <w:t xml:space="preserve"> </w:t>
      </w:r>
      <w:r>
        <w:t xml:space="preserve">(Higgins et al., 2003). Phân tích theo nhóm con và hồi quy phân tích tổng hợp được dùng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114"/>
    <w:bookmarkStart w:id="115"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biến kiểm soát (control variables).</w:t>
      </w:r>
    </w:p>
    <w:bookmarkEnd w:id="115"/>
    <w:bookmarkStart w:id="116"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giữ nguyên dạng bậc hai trên và được ước lượng riêng theo từng đợt khảo sát (2012 và 2024) cũng như trên mẫu gộp, kèm các kiểm định ổn định hệ số xuyên đợt để kiểm tra giả thuyết dị biệt thời gian H6, thay vì mở rộng lên dạng bậc ba; dạng bậc hai đủ để nhận dạng điểm uốn và phù hợp với mật độ phân phối cường độ xuất khẩu của mẫu doanh nghiệp Trung Quốc.</w:t>
      </w:r>
    </w:p>
    <w:p>
      <w:pPr>
        <w:pStyle w:val="BodyText"/>
      </w:pPr>
      <w:r>
        <w:rPr>
          <w:bCs/>
          <w:b/>
        </w:rPr>
        <w:t xml:space="preserve">Cơ sở kế thừa</w:t>
      </w:r>
      <w:r>
        <w:t xml:space="preserve">: Lu và Beamish (2004), Hitt et al. (1997), Contractor et al. (2003); nghiên cứu thành phần P2 cho dạng bậc hai ở Trung Quốc với điểm uốn khoảng 47,8% FSTS, và nghiên cứu thành phần P5 xác nhận dạng bậc hai ổn định theo thời gian với điểm uốn quanh 48% FSTS.</w:t>
      </w:r>
    </w:p>
    <w:p>
      <w:pPr>
        <w:pStyle w:val="BodyText"/>
      </w:pPr>
      <w:r>
        <w:rPr>
          <w:bCs/>
          <w:b/>
        </w:rPr>
        <w:t xml:space="preserve">Kiểm định chữ U của Lind và Mehlum</w:t>
      </w:r>
      <w:r>
        <w:t xml:space="preserve"> </w:t>
      </w:r>
      <w:r>
        <w:t xml:space="preserve">(Lind &amp; Mehlum, 2010; Haans et al., 2016) để xác nhận chặt chẽ chữ U ngược: kiểm định độ dốc dương ở bên trái và độ dốc âm ở bên phải của miền giá trị FSTS.</w:t>
      </w:r>
    </w:p>
    <w:bookmarkEnd w:id="116"/>
    <w:bookmarkStart w:id="117"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(Sasabuchi, 1980),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p>
      <w:pPr>
        <w:pStyle w:val="BodyText"/>
      </w:pPr>
      <w:r>
        <w:t xml:space="preserve">Cách vận hành thủ tục này thể hiện rõ ở các nghiên cứu thành phần. Ở Trung Quốc, kiểm định của Lind và Mehlum được kiểm chứng cho từng đợt qua điều kiện độ dốc dương có ý nghĩa tại biên trái khi cường độ xuất khẩu bằng 0 và độ dốc âm có ý nghĩa tại biên phải khi cường độ bằng 1; điểm uốn được khôi phục bằng phương pháp delta cùng khoảng tin cậy 95 phần trăm theo phổ thể chế của phương pháp delta, cho ra điểm uốn 49,4% với khoảng tin cậy từ 43,1% đến 55,7% năm 2012 và 47,2% với khoảng từ 40,8% đến 53,6% năm 2024, hai khoảng chồng lấn rộng; trên mẫu gộp điểm uốn là 48,8% với khoảng tin cậy từ 44,2% đến 53,4%. Ở khung đa quốc gia, ba điều kiện của Lind và Mehlum, gồm dấu hệ số, điểm uốn nằm chặt bên trong miền quan sát, và dấu độ dốc tại hai biên, được gộp thành một kiểm định giao điểm duy nhất. Trường hợp đảo nhỏ Thái Bình Dương minh họa giá trị thông tin của một kiểm định không bác bỏ: cả hai số hạng mất ý nghĩa khi đưa vào đồng thời do cộng tuyến cao trong mẫu cường độ thấp với trung bình cường độ chỉ 0,048, và hệ số bậc hai dương hàm ý dạng chữ U xuôi thay vì chữ U ngược, một sự đảo dạng bản thân nó nhất quán với quan hệ đơn điệu âm không có điểm quay nội miền.</w:t>
      </w:r>
    </w:p>
    <w:bookmarkEnd w:id="117"/>
    <w:bookmarkStart w:id="120" w:name="mô-hình-điều-tiết-h2h6"/>
    <w:p>
      <w:pPr>
        <w:pStyle w:val="Heading3"/>
      </w:pPr>
      <w:r>
        <w:t xml:space="preserve">3.4.4 Mô hình điều tiết (H2–H6)</w:t>
      </w:r>
    </w:p>
    <w:bookmarkStart w:id="118"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M</m:t>
                  </m:r>
                </m:e>
                <m:sub>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118"/>
    <w:bookmarkStart w:id="119"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(các số hạng tương tác)</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chấp nhận số,</w:t>
      </w:r>
      <w:r>
        <w:t xml:space="preserve"> </w:t>
      </w:r>
      <m:oMath>
        <m:r>
          <m:t>I</m:t>
        </m:r>
      </m:oMath>
      <w:r>
        <w:t xml:space="preserve"> </w:t>
      </w:r>
      <w:r>
        <w:t xml:space="preserve">= thể chế,</w:t>
      </w:r>
      <w:r>
        <w:t xml:space="preserve"> </w:t>
      </w:r>
      <m:oMath>
        <m:r>
          <m:t>M</m:t>
        </m:r>
      </m:oMath>
      <w:r>
        <w:t xml:space="preserve"> </w:t>
      </w:r>
      <w:r>
        <w:t xml:space="preserve">= nhà quản trị.</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điều tiết ba chiều (số × thể chế × nhà quản trị) trong bối cảnh châu Á và Thái Bình Dương với 50 nước chưa được kiểm định trước đây.</w:t>
      </w:r>
    </w:p>
    <w:bookmarkEnd w:id="119"/>
    <w:bookmarkEnd w:id="120"/>
    <w:bookmarkStart w:id="121"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tiến hóa hai mươi năm; Xiao et al. (2013) với các điều kiện đặc thù của Trung Quốc; nghiên cứu thành phần P2 làm cơ sở dạng bậc hai năm 2012.</w:t>
      </w:r>
    </w:p>
    <w:p>
      <w:pPr>
        <w:pStyle w:val="BodyText"/>
      </w:pPr>
      <w:r>
        <w:rPr>
          <w:bCs/>
          <w:b/>
        </w:rPr>
        <w:t xml:space="preserve">Đóng góp mới</w:t>
      </w:r>
      <w:r>
        <w:t xml:space="preserve">: áp dụng cho Trung Quốc các năm 2012 và 2024 để kiểm định tính ổn định của điểm uốn dạng bậc hai (khoảng 47,8% FSTS) sau hơn một thập kỷ chuyển đổi số.</w:t>
      </w:r>
    </w:p>
    <w:bookmarkEnd w:id="121"/>
    <w:bookmarkStart w:id="122"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p>
      <w:pPr>
        <w:pStyle w:val="BodyText"/>
      </w:pPr>
      <w:r>
        <w:t xml:space="preserve">Thủ tục này cho ra hai kết cục đối lập về mặt lý thuyết tùy bối cảnh thể chế. Ở Trung Quốc, kiểm định không bác bỏ bình đẳng hệ số giữa hai đợt cho cả số hạng bậc nhất và bậc hai, với thống kê dịch chuyển bậc nhất bằng +0,82 (giá trị p bằng 0,412) và dịch chuyển bậc hai bằng −0,61 (giá trị p bằng 0,545), hỗ trợ cách diễn giải rằng ngưỡng chữ U ngược là một quy luật cấu trúc bền vững với điểm uốn ổn định quanh 48% bất kể thập niên. Tính bền vững này còn vững trước giới hạn mẫu: trên mẫu con chế biến chế tạo, điểm uốn là 48,1% năm 2012 và 46,4% năm 2024 với các thống kê Paternoster vẫn không có ý nghĩa. Ngược lại, ở Ấn Độ, kiểm định Paternoster xuyên đợt bác bỏ bình đẳng hệ số ở mức rất nhỏ hơn 0,0001 cho cả số hạng tuyến tính và bậc hai, một sự sụp đổ trùng với thập niên thay đổi thể chế ngoại lệ gồm bãi bỏ tiền mặt, thuế hàng hóa và dịch vụ, luật phá sản, hạ tầng thanh toán hợp nhất, chương trình khuyến khích sản xuất và đại dịch. Sự đối lập giữa bền vững ở Trung Quốc và sụp đổ ở Ấn Độ chính là giá trị nhận dạng của kiểm định xuyên đợt: nó phân biệt được dịch chuyển cấu trúc thực do cú sốc thể chế khỏi biến thiên ngẫu nhiên của mẫu.</w:t>
      </w:r>
    </w:p>
    <w:bookmarkEnd w:id="122"/>
    <w:bookmarkStart w:id="123"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trên mẫu gộp. Ký hiệu biến:</w:t>
      </w:r>
    </w:p>
    <w:p>
      <w:pPr>
        <w:numPr>
          <w:ilvl w:val="0"/>
          <w:numId w:val="1009"/>
        </w:numPr>
        <w:pStyle w:val="Compact"/>
      </w:pPr>
      <w:r>
        <w:rPr>
          <w:bCs/>
          <w:b/>
        </w:rPr>
        <w:t xml:space="preserve">lnLP_it</w:t>
      </w:r>
      <w:r>
        <w:t xml:space="preserve">: log năng suất lao động (ln doanh thu nội tệ / lao động thường xuyên)</w:t>
      </w:r>
    </w:p>
    <w:p>
      <w:pPr>
        <w:numPr>
          <w:ilvl w:val="0"/>
          <w:numId w:val="1009"/>
        </w:numPr>
        <w:pStyle w:val="Compact"/>
      </w:pPr>
      <w:r>
        <w:rPr>
          <w:bCs/>
          <w:b/>
        </w:rPr>
        <w:t xml:space="preserve">FSTS_c_it</w:t>
      </w:r>
      <w:r>
        <w:t xml:space="preserve">: cường độ xuất khẩu điều chỉnh trung bình trong sóng (mean-centred)</w:t>
      </w:r>
    </w:p>
    <w:p>
      <w:pPr>
        <w:numPr>
          <w:ilvl w:val="0"/>
          <w:numId w:val="1009"/>
        </w:numPr>
        <w:pStyle w:val="Compact"/>
      </w:pPr>
      <w:r>
        <w:rPr>
          <w:bCs/>
          <w:b/>
        </w:rPr>
        <w:t xml:space="preserve">FSTS_c²_it</w:t>
      </w:r>
      <w:r>
        <w:t xml:space="preserve">: bình phương cường độ xuất khẩu điều chỉnh</w:t>
      </w:r>
    </w:p>
    <w:p>
      <w:pPr>
        <w:numPr>
          <w:ilvl w:val="0"/>
          <w:numId w:val="1009"/>
        </w:numPr>
        <w:pStyle w:val="Compact"/>
      </w:pPr>
      <w:r>
        <w:rPr>
          <w:bCs/>
          <w:b/>
        </w:rPr>
        <w:t xml:space="preserve">TCI_z_it</w:t>
      </w:r>
      <w:r>
        <w:t xml:space="preserve">: năng lực công nghệ (chuẩn hoá z trong sóng)</w:t>
      </w:r>
    </w:p>
    <w:p>
      <w:pPr>
        <w:numPr>
          <w:ilvl w:val="0"/>
          <w:numId w:val="1009"/>
        </w:numPr>
        <w:pStyle w:val="Compact"/>
      </w:pPr>
      <w:r>
        <w:rPr>
          <w:bCs/>
          <w:b/>
        </w:rPr>
        <w:t xml:space="preserve">DAI_z_it</w:t>
      </w:r>
      <w:r>
        <w:t xml:space="preserve">: chỉ số số hoá cơ sở, Bậc 1 (chuẩn hoá z trong sóng)</w:t>
      </w:r>
    </w:p>
    <w:p>
      <w:pPr>
        <w:numPr>
          <w:ilvl w:val="0"/>
          <w:numId w:val="1009"/>
        </w:numPr>
        <w:pStyle w:val="Compact"/>
      </w:pPr>
      <w:r>
        <w:rPr>
          <w:bCs/>
          <w:b/>
        </w:rPr>
        <w:t xml:space="preserve">lnL</w:t>
      </w:r>
      <w:r>
        <w:t xml:space="preserve"> </w:t>
      </w:r>
      <w:r>
        <w:t xml:space="preserve">= ln(L) (quy mô),</w:t>
      </w:r>
      <w:r>
        <w:t xml:space="preserve"> </w:t>
      </w:r>
      <w:r>
        <w:rPr>
          <w:bCs/>
          <w:b/>
        </w:rPr>
        <w:t xml:space="preserve">Age</w:t>
      </w:r>
      <w:r>
        <w:t xml:space="preserve"> </w:t>
      </w:r>
      <w:r>
        <w:t xml:space="preserve">(tuổi),</w:t>
      </w:r>
      <w:r>
        <w:t xml:space="preserve"> </w:t>
      </w:r>
      <w:r>
        <w:rPr>
          <w:bCs/>
          <w:b/>
        </w:rPr>
        <w:t xml:space="preserve">Own</w:t>
      </w:r>
      <w:r>
        <w:t xml:space="preserve"> </w:t>
      </w:r>
      <w:r>
        <w:t xml:space="preserve">(sở hữu): biến kiểm soát</w:t>
      </w:r>
    </w:p>
    <w:p>
      <w:pPr>
        <w:numPr>
          <w:ilvl w:val="0"/>
          <w:numId w:val="1009"/>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sSub>
            <m:e>
              <m:r>
                <m:rPr>
                  <m:sty m:val="p"/>
                </m:rPr>
                <m:t>A</m:t>
              </m:r>
              <m:r>
                <m:rPr>
                  <m:sty m:val="p"/>
                </m:rPr>
                <m:t>g</m:t>
              </m:r>
              <m:r>
                <m:rPr>
                  <m:sty m:val="p"/>
                </m:rPr>
                <m:t>e</m:t>
              </m:r>
            </m:e>
            <m:sub>
              <m:r>
                <m:t>i</m:t>
              </m:r>
              <m:r>
                <m:t>t</m:t>
              </m:r>
            </m:sub>
          </m:sSub>
          <m:r>
            <m:rPr>
              <m:sty m:val="p"/>
            </m:rPr>
            <m:t>+</m:t>
          </m:r>
          <m:sSub>
            <m:e>
              <m:r>
                <m:t>γ</m:t>
              </m:r>
            </m:e>
            <m:sub>
              <m:r>
                <m:t>3</m:t>
              </m:r>
            </m:sub>
          </m:sSub>
          <m:sSub>
            <m:e>
              <m:r>
                <m:rPr>
                  <m:sty m:val="p"/>
                </m:rPr>
                <m:t>O</m:t>
              </m:r>
              <m:r>
                <m:rPr>
                  <m:sty m:val="p"/>
                </m:rPr>
                <m:t>w</m:t>
              </m:r>
              <m:r>
                <m:rPr>
                  <m:sty m:val="p"/>
                </m:rP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TCI (kiểm định H2):</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e>
            </m:mr>
            <m:mr>
              <m:e/>
              <m:e>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T</m:t>
                        </m:r>
                        <m:r>
                          <m:rPr>
                            <m:sty m:val="p"/>
                          </m:rPr>
                          <m:t>C</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T</m:t>
                        </m:r>
                        <m:r>
                          <m:rPr>
                            <m:sty m:val="p"/>
                          </m:rPr>
                          <m:t>C</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M4, Điều tiết DAI (H3 thăm dò):</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D</m:t>
                    </m:r>
                    <m:r>
                      <m:rPr>
                        <m:sty m:val="p"/>
                      </m:rPr>
                      <m:t>A</m:t>
                    </m:r>
                    <m:r>
                      <m:rPr>
                        <m:sty m:val="p"/>
                      </m:rPr>
                      <m:t>I</m:t>
                    </m:r>
                  </m:e>
                  <m:sub>
                    <m:r>
                      <m:t>z</m:t>
                    </m:r>
                  </m:sub>
                </m:sSub>
              </m:e>
            </m:mr>
            <m:mr>
              <m:e/>
              <m:e>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M5, TCI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DAI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DAI):</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ln(doanh thu nội tệ / lao động thường xuyên)</w:t>
            </w:r>
          </w:p>
        </w:tc>
        <w:tc>
          <w:tcPr/>
          <w:p>
            <w:pPr>
              <w:pStyle w:val="Compact"/>
              <w:jc w:val="left"/>
            </w:pPr>
            <w:r>
              <w:t xml:space="preserve">Biến phụ thuộc</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trung bình sóng: chuẩn hoá điều chỉnh</w:t>
            </w:r>
          </w:p>
        </w:tc>
        <w:tc>
          <w:tcPr/>
          <w:p>
            <w:pPr>
              <w:pStyle w:val="Compact"/>
              <w:jc w:val="left"/>
            </w:pPr>
            <w:r>
              <w:t xml:space="preserve">Biến độc lập (centred)</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 hạng phi tuyến</w:t>
            </w:r>
          </w:p>
        </w:tc>
        <w:tc>
          <w:tcPr/>
          <w:p>
            <w:pPr>
              <w:pStyle w:val="Compact"/>
              <w:jc w:val="left"/>
            </w:pPr>
            <w:r>
              <w:t xml:space="preserve">Kiểm định inverted-U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chuẩn hóa z trong sóng của c22b₀₁: hiện diện website</w:t>
            </w:r>
          </w:p>
        </w:tc>
        <w:tc>
          <w:tcPr/>
          <w:p>
            <w:pPr>
              <w:pStyle w:val="Compact"/>
              <w:jc w:val="left"/>
            </w:pPr>
            <w:r>
              <w:t xml:space="preserve">Số hoá Bậc 1 (H3 thăm dò)</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p>
      <w:pPr>
        <w:pStyle w:val="BodyText"/>
      </w:pPr>
      <w:r>
        <w:rPr>
          <w:iCs/>
          <w:i/>
        </w:rPr>
        <w:t xml:space="preserve">Đối chiếu ký hiệu (áp dụng cho toàn bộ bảng định nghĩa biến Chương 3): các ký hiệu Anh chính tắc dùng xuyên suốt luận án trước đây được ghi bằng mnemonic tiếng Việt — FSTS (CDDXK, cường độ xuất khẩu), TCI (NLCN, năng lực công nghệ), DAI (CSS, chấp nhận số), lnLP (lnNSLD, năng suất lao động), lnL (lnLD, quy mô lao động), Age (TuoiDN, tuổi doanh nghiệp), Own (SoHuuNN, sở hữu nước ngoài), MgrExp (KNQLy, kinh nghiệm quản lý) và MgrFem (NQL_nu, nữ quản lý cấp cao).</w:t>
      </w:r>
    </w:p>
    <w:bookmarkEnd w:id="123"/>
    <w:bookmarkStart w:id="124"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biến:</w:t>
      </w:r>
    </w:p>
    <w:p>
      <w:pPr>
        <w:numPr>
          <w:ilvl w:val="0"/>
          <w:numId w:val="1010"/>
        </w:numPr>
        <w:pStyle w:val="Compact"/>
      </w:pPr>
      <w:r>
        <w:rPr>
          <w:bCs/>
          <w:b/>
        </w:rPr>
        <w:t xml:space="preserve">lnLP_i</w:t>
      </w:r>
      <w:r>
        <w:t xml:space="preserve">: log năng suất lao động (ln doanh thu nội tệ / lao động thường xuyên)</w:t>
      </w:r>
    </w:p>
    <w:p>
      <w:pPr>
        <w:numPr>
          <w:ilvl w:val="0"/>
          <w:numId w:val="1010"/>
        </w:numPr>
        <w:pStyle w:val="Compact"/>
      </w:pPr>
      <w:r>
        <w:rPr>
          <w:bCs/>
          <w:b/>
        </w:rPr>
        <w:t xml:space="preserve">FSTS_i</w:t>
      </w:r>
      <w:r>
        <w:t xml:space="preserve">: cường độ xuất khẩu trực tiếp (d3c / 100)</w:t>
      </w:r>
    </w:p>
    <w:p>
      <w:pPr>
        <w:numPr>
          <w:ilvl w:val="0"/>
          <w:numId w:val="1010"/>
        </w:numPr>
        <w:pStyle w:val="Compact"/>
      </w:pPr>
      <w:r>
        <w:rPr>
          <w:bCs/>
          <w:b/>
        </w:rPr>
        <w:t xml:space="preserve">FSTS_c_i</w:t>
      </w:r>
      <w:r>
        <w:t xml:space="preserve">: FSTS trung bình mẫu; FSTS_c² là bình phương</w:t>
      </w:r>
    </w:p>
    <w:p>
      <w:pPr>
        <w:numPr>
          <w:ilvl w:val="0"/>
          <w:numId w:val="1010"/>
        </w:numPr>
        <w:pStyle w:val="Compact"/>
      </w:pPr>
      <w:r>
        <w:rPr>
          <w:bCs/>
          <w:b/>
        </w:rPr>
        <w:t xml:space="preserve">TCI_z_i</w:t>
      </w:r>
      <w:r>
        <w:t xml:space="preserve">: năng lực công nghệ, chuẩn hóa z của trung bình(b8₀₁, e6₀₁)</w:t>
      </w:r>
    </w:p>
    <w:p>
      <w:pPr>
        <w:numPr>
          <w:ilvl w:val="0"/>
          <w:numId w:val="1010"/>
        </w:numPr>
        <w:pStyle w:val="Compact"/>
      </w:pPr>
      <w:r>
        <w:rPr>
          <w:bCs/>
          <w:b/>
        </w:rPr>
        <w:t xml:space="preserve">DAI_z_i</w:t>
      </w:r>
      <w:r>
        <w:t xml:space="preserve">: chỉ số số hoá</w:t>
      </w:r>
      <w:r>
        <w:t xml:space="preserve"> </w:t>
      </w:r>
      <w:r>
        <w:rPr>
          <w:bCs/>
          <w:b/>
        </w:rPr>
        <w:t xml:space="preserve">Bậc 1 và 2</w:t>
      </w:r>
      <w:r>
        <w:t xml:space="preserve">, chuẩn hóa z của trung bình(c22b₀₁, k33₀₁, k38₀₁); khác P3 ở chỗ bao gồm thanh toán điện tử hai chiều (Bậc 2)</w:t>
      </w:r>
    </w:p>
    <w:p>
      <w:pPr>
        <w:numPr>
          <w:ilvl w:val="0"/>
          <w:numId w:val="1010"/>
        </w:numPr>
        <w:pStyle w:val="Compact"/>
      </w:pPr>
      <w:r>
        <w:rPr>
          <w:bCs/>
          <w:b/>
        </w:rPr>
        <w:t xml:space="preserve">lnL_i</w:t>
      </w:r>
      <w:r>
        <w:t xml:space="preserve"> </w:t>
      </w:r>
      <w:r>
        <w:t xml:space="preserve">= ln(L)_i (quy mô),</w:t>
      </w:r>
      <w:r>
        <w:t xml:space="preserve"> </w:t>
      </w:r>
      <w:r>
        <w:rPr>
          <w:bCs/>
          <w:b/>
        </w:rPr>
        <w:t xml:space="preserve">Age_i</w:t>
      </w:r>
      <w:r>
        <w:t xml:space="preserve"> </w:t>
      </w:r>
      <w:r>
        <w:t xml:space="preserve">(tuổi),</w:t>
      </w:r>
      <w:r>
        <w:t xml:space="preserve"> </w:t>
      </w:r>
      <w:r>
        <w:rPr>
          <w:bCs/>
          <w:b/>
        </w:rPr>
        <w:t xml:space="preserve">Own_i</w:t>
      </w:r>
      <w:r>
        <w:t xml:space="preserve"> </w:t>
      </w:r>
      <w:r>
        <w:t xml:space="preserve">(sở hữu): biến kiểm soát tương tự P3, gộp trong vector</w:t>
      </w:r>
      <w:r>
        <w:t xml:space="preserve"> </w:t>
      </w:r>
      <w:r>
        <w:rPr>
          <w:bCs/>
          <w:b/>
        </w:rPr>
        <w:t xml:space="preserve">X</w:t>
      </w:r>
      <w:r>
        <w:t xml:space="preserve">_i</w:t>
      </w:r>
    </w:p>
    <w:p>
      <w:pPr>
        <w:numPr>
          <w:ilvl w:val="0"/>
          <w:numId w:val="1010"/>
        </w:numPr>
        <w:pStyle w:val="Compact"/>
      </w:pPr>
      <w:r>
        <w:rPr>
          <w:bCs/>
          <w:b/>
        </w:rPr>
        <w:t xml:space="preserve">δ_s</w:t>
      </w:r>
      <w:r>
        <w:t xml:space="preserve">: ngành hiệu ứng cố định (ISIC 1-chữ số)</w:t>
      </w:r>
    </w:p>
    <w:p>
      <w:pPr>
        <w:numPr>
          <w:ilvl w:val="0"/>
          <w:numId w:val="1010"/>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odyText"/>
      </w:pPr>
      <w:r>
        <w:rPr>
          <w:bCs/>
          <w:b/>
        </w:rPr>
        <w:t xml:space="preserve">M0 (Baseline):</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sub>
          </m:sSub>
          <m:r>
            <m:rPr>
              <m:sty m:val="p"/>
            </m:rPr>
            <m:t>+</m:t>
          </m:r>
          <m:sSub>
            <m:e>
              <m:r>
                <m:t>γ</m:t>
              </m:r>
            </m:e>
            <m:sub>
              <m:r>
                <m:t>2</m:t>
              </m:r>
            </m:sub>
          </m:sSub>
          <m:r>
            <m:t> </m:t>
          </m:r>
          <m:sSub>
            <m:e>
              <m:r>
                <m:rPr>
                  <m:sty m:val="p"/>
                </m:rPr>
                <m:t>A</m:t>
              </m:r>
              <m:r>
                <m:rPr>
                  <m:sty m:val="p"/>
                </m:rPr>
                <m:t>g</m:t>
              </m:r>
              <m:r>
                <m:rPr>
                  <m:sty m:val="p"/>
                </m:rPr>
                <m:t>e</m:t>
              </m:r>
            </m:e>
            <m:sub>
              <m:r>
                <m:t>i</m:t>
              </m:r>
            </m:sub>
          </m:sSub>
          <m:r>
            <m:rPr>
              <m:sty m:val="p"/>
            </m:rPr>
            <m:t>+</m:t>
          </m:r>
          <m:sSub>
            <m:e>
              <m:r>
                <m:t>γ</m:t>
              </m:r>
            </m:e>
            <m:sub>
              <m:r>
                <m:t>3</m:t>
              </m:r>
            </m:sub>
          </m:sSub>
          <m:r>
            <m:t> </m:t>
          </m:r>
          <m:sSub>
            <m:e>
              <m:r>
                <m:rPr>
                  <m:sty m:val="p"/>
                </m:rPr>
                <m:t>O</m:t>
              </m:r>
              <m:r>
                <m:rPr>
                  <m:sty m:val="p"/>
                </m:rPr>
                <m:t>w</m:t>
              </m:r>
              <m:r>
                <m:rPr>
                  <m:sty m:val="p"/>
                </m:rPr>
                <m:t>n</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M1 (Tuyến tính FSTS):</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M2 (Bậc hai FSTS,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t xml:space="preserve">H1:</w:t>
      </w:r>
      <w:r>
        <w:t xml:space="preserve"> </w:t>
      </w:r>
      <m:oMath>
        <m:sSub>
          <m:e>
            <m:r>
              <m:t>β</m:t>
            </m:r>
          </m:e>
          <m:sub>
            <m:r>
              <m:t>1</m:t>
            </m:r>
          </m:sub>
        </m:sSub>
        <m:r>
          <m:rPr>
            <m:sty m:val="p"/>
          </m:rPr>
          <m:t>&gt;</m:t>
        </m:r>
        <m:r>
          <m:t>0</m:t>
        </m:r>
        <m:r>
          <m:rPr>
            <m:sty m:val="p"/>
          </m:rPr>
          <m:t>,</m:t>
        </m:r>
        <m:r>
          <m:t> </m:t>
        </m:r>
        <m:sSub>
          <m:e>
            <m:r>
              <m:t>β</m:t>
            </m:r>
          </m:e>
          <m:sub>
            <m:r>
              <m:t>2</m:t>
            </m:r>
          </m:sub>
        </m:sSub>
        <m:r>
          <m:rPr>
            <m:sty m:val="p"/>
          </m:rPr>
          <m:t>&lt;</m:t>
        </m:r>
        <m:r>
          <m:t>0</m:t>
        </m:r>
      </m:oMath>
      <w:r>
        <w:t xml:space="preserve">; điểm uốn</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88</m:t>
        </m:r>
        <m:r>
          <m:rPr>
            <m:sty m:val="p"/>
          </m:rPr>
          <m:t>,</m:t>
        </m:r>
        <m:r>
          <m:t>6</m:t>
        </m:r>
        <m:r>
          <m:rPr>
            <m:sty m:val="p"/>
          </m:rPr>
          <m:t>%</m:t>
        </m:r>
      </m:oMath>
      <w:r>
        <w:t xml:space="preserve"> </w:t>
      </w:r>
      <m:oMath>
        <m:r>
          <m:rPr>
            <m:sty m:val="p"/>
          </m:rPr>
          <m:t>F</m:t>
        </m:r>
        <m:r>
          <m:rPr>
            <m:sty m:val="p"/>
          </m:rPr>
          <m:t>S</m:t>
        </m:r>
        <m:r>
          <m:rPr>
            <m:sty m:val="p"/>
          </m:rPr>
          <m:t>T</m:t>
        </m:r>
        <m:r>
          <m:rPr>
            <m:sty m:val="p"/>
          </m:rPr>
          <m:t>S</m:t>
        </m:r>
      </m:oMath>
      <w:r>
        <w:t xml:space="preserve"> </w:t>
      </w:r>
      <w:r>
        <w:t xml:space="preserve">(CI bootstrap [53%, 253%]). Lưu ý: Lind–Mehlum</w:t>
      </w:r>
      <w:r>
        <w:t xml:space="preserve"> </w:t>
      </w:r>
      <m:oMath>
        <m:r>
          <m:t>p</m:t>
        </m:r>
        <m:r>
          <m:rPr>
            <m:sty m:val="p"/>
          </m:rPr>
          <m:t>=</m:t>
        </m:r>
        <m:r>
          <m:t>0</m:t>
        </m:r>
        <m:r>
          <m:rPr>
            <m:sty m:val="p"/>
          </m:rPr>
          <m:t>,</m:t>
        </m:r>
        <m:r>
          <m:t>303</m:t>
        </m:r>
      </m:oMath>
      <w:r>
        <w:t xml:space="preserve">, không bác bỏ tuyến tính trong phạm vi dữ liệu quan sát; đây là kết quả thông tin tích cực theo khung bão hòa (saturation framework).</w:t>
      </w:r>
    </w:p>
    <w:p>
      <w:pPr>
        <w:pStyle w:val="BodyText"/>
      </w:pPr>
      <w:r>
        <w:rPr>
          <w:bCs/>
          <w:b/>
        </w:rPr>
        <w:t xml:space="preserve">M3 (+ TCI, H1-TCI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M4 (+ DAI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M5 (Mô hình đầy đủ, kiểm định H3):</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sub>
                </m:sSub>
                <m:r>
                  <m:rPr>
                    <m:sty m:val="p"/>
                  </m:rPr>
                  <m:t>=</m:t>
                </m:r>
                <m:r>
                  <m:t>​</m:t>
                </m:r>
              </m:e>
              <m:e>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sub>
                    </m:sSub>
                    <m:r>
                      <m:rPr>
                        <m:sty m:val="p"/>
                      </m:rPr>
                      <m:t>×</m:t>
                    </m:r>
                    <m:sSub>
                      <m:e>
                        <m:r>
                          <m:rPr>
                            <m:sty m:val="p"/>
                          </m:rPr>
                          <m:t>D</m:t>
                        </m:r>
                        <m:r>
                          <m:rPr>
                            <m:sty m:val="p"/>
                          </m:rPr>
                          <m:t>A</m:t>
                        </m:r>
                        <m:r>
                          <m:rPr>
                            <m:sty m:val="p"/>
                          </m:rPr>
                          <m:t>I</m:t>
                        </m:r>
                      </m:e>
                      <m:sub>
                        <m:r>
                          <m:t>z</m:t>
                        </m:r>
                        <m:r>
                          <m:rPr>
                            <m:sty m:val="p"/>
                          </m:rPr>
                          <m:t>,</m:t>
                        </m:r>
                        <m:r>
                          <m:t>i</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rPr>
                            <m:sty m:val="p"/>
                          </m:rPr>
                          <m:t>D</m:t>
                        </m:r>
                        <m:r>
                          <m:rPr>
                            <m:sty m:val="p"/>
                          </m:rPr>
                          <m:t>A</m:t>
                        </m:r>
                        <m:r>
                          <m:rPr>
                            <m:sty m:val="p"/>
                          </m:rPr>
                          <m:t>I</m:t>
                        </m:r>
                      </m:e>
                      <m:sub>
                        <m:r>
                          <m:t>z</m:t>
                        </m:r>
                        <m:r>
                          <m:rPr>
                            <m:sty m:val="p"/>
                          </m:rPr>
                          <m:t>,</m:t>
                        </m:r>
                        <m:r>
                          <m:t>i</m:t>
                        </m:r>
                      </m:sub>
                    </m:sSub>
                  </m:e>
                </m:d>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e>
            </m:mr>
          </m:m>
        </m:oMath>
      </m:oMathPara>
    </w:p>
    <w:p>
      <w:pPr>
        <w:pStyle w:val="FirstParagraph"/>
      </w:pPr>
      <w:r>
        <w:t xml:space="preserve">H3:</w:t>
      </w:r>
      <w:r>
        <w:t xml:space="preserve"> </w:t>
      </w:r>
      <m:oMath>
        <m:sSub>
          <m:e>
            <m:r>
              <m:t>β</m:t>
            </m:r>
          </m:e>
          <m:sub>
            <m:r>
              <m:t>6</m:t>
            </m:r>
          </m:sub>
        </m:sSub>
        <m:r>
          <m:rPr>
            <m:sty m:val="p"/>
          </m:rPr>
          <m:t>&gt;</m:t>
        </m:r>
        <m:r>
          <m:t>0</m:t>
        </m:r>
      </m:oMath>
      <w:r>
        <w:t xml:space="preserve">, DAI khuếch đại lợi nhuận quốc tế hóa và hiệu quả ở cường độ xuất khẩu cao (coordination platform mechanism; Stallkamp &amp; Schotter, 2021). Kết quả:</w:t>
      </w:r>
      <w:r>
        <w:t xml:space="preserve"> </w:t>
      </w:r>
      <m:oMath>
        <m:sSub>
          <m:e>
            <m:r>
              <m:t>β</m:t>
            </m:r>
          </m:e>
          <m:sub>
            <m:r>
              <m:t>6</m:t>
            </m:r>
          </m:sub>
        </m:sSub>
        <m:r>
          <m:rPr>
            <m:sty m:val="p"/>
          </m:rPr>
          <m:t>=</m:t>
        </m:r>
        <m:r>
          <m:rPr>
            <m:sty m:val="p"/>
          </m:rPr>
          <m:t>+</m:t>
        </m:r>
        <m:r>
          <m:t>3</m:t>
        </m:r>
        <m:r>
          <m:rPr>
            <m:sty m:val="p"/>
          </m:rPr>
          <m:t>,</m:t>
        </m:r>
        <m:r>
          <m:t>119</m:t>
        </m:r>
      </m:oMath>
      <w:r>
        <w:t xml:space="preserve"> </w:t>
      </w:r>
      <w:r>
        <w:t xml:space="preserve">(</w:t>
      </w:r>
      <m:oMath>
        <m:r>
          <m:t>p</m:t>
        </m:r>
        <m:r>
          <m:rPr>
            <m:sty m:val="p"/>
          </m:rPr>
          <m:t>=</m:t>
        </m:r>
        <m:r>
          <m:t>0</m:t>
        </m:r>
        <m:r>
          <m:rPr>
            <m:sty m:val="p"/>
          </m:rPr>
          <m:t>,</m:t>
        </m:r>
        <m:r>
          <m:t>005</m:t>
        </m:r>
      </m:oMath>
      <w:r>
        <w:t xml:space="preserve">) trong mẫu đầy đủ;</w:t>
      </w:r>
      <w:r>
        <w:t xml:space="preserve"> </w:t>
      </w:r>
      <m:oMath>
        <m:sSub>
          <m:e>
            <m:r>
              <m:t>β</m:t>
            </m:r>
          </m:e>
          <m:sub>
            <m:r>
              <m:t>6</m:t>
            </m:r>
          </m:sub>
        </m:sSub>
        <m:r>
          <m:rPr>
            <m:sty m:val="p"/>
          </m:rPr>
          <m:t>=</m:t>
        </m:r>
        <m:r>
          <m:rPr>
            <m:sty m:val="p"/>
          </m:rPr>
          <m:t>+</m:t>
        </m:r>
        <m:r>
          <m:t>2</m:t>
        </m:r>
        <m:r>
          <m:rPr>
            <m:sty m:val="p"/>
          </m:rPr>
          <m:t>,</m:t>
        </m:r>
        <m:r>
          <m:t>821</m:t>
        </m:r>
      </m:oMath>
      <w:r>
        <w:t xml:space="preserve"> </w:t>
      </w:r>
      <w:r>
        <w:t xml:space="preserve">(</w:t>
      </w:r>
      <m:oMath>
        <m:r>
          <m:t>p</m:t>
        </m:r>
        <m:r>
          <m:rPr>
            <m:sty m:val="p"/>
          </m:rPr>
          <m:t>=</m:t>
        </m:r>
        <m:r>
          <m:t>0</m:t>
        </m:r>
        <m:r>
          <m:rPr>
            <m:sty m:val="p"/>
          </m:rPr>
          <m:t>,</m:t>
        </m:r>
        <m:r>
          <m:t>003</m:t>
        </m:r>
      </m:oMath>
      <w:r>
        <w:t xml:space="preserve">, F-test) trong mẫu chỉ xuất khẩu (</w:t>
      </w:r>
      <m:oMath>
        <m:r>
          <m:t>N</m:t>
        </m:r>
        <m:r>
          <m:rPr>
            <m:sty m:val="p"/>
          </m:rPr>
          <m:t>=</m:t>
        </m:r>
        <m:r>
          <m:t>84</m:t>
        </m:r>
      </m:oMath>
      <w:r>
        <w:t xml:space="preserve">, lưu ý: công suất thống kê</w:t>
      </w:r>
      <w:r>
        <w:t xml:space="preserve"> </w:t>
      </w:r>
      <m:oMath>
        <m:r>
          <m:rPr>
            <m:sty m:val="p"/>
          </m:rPr>
          <m:t>≈</m:t>
        </m:r>
        <m:r>
          <m:t>16</m:t>
        </m:r>
        <m:r>
          <m:rPr>
            <m:sty m:val="p"/>
          </m:rPr>
          <m:t>%</m:t>
        </m:r>
      </m:oMath>
      <w:r>
        <w:t xml:space="preserve">)</w:t>
      </w:r>
    </w:p>
    <w:p>
      <w:pPr>
        <w:pStyle w:val="BodyText"/>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Phi tuyến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 của TB(b8₀₁, e6₀₁)</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 k33, k38</w:t>
            </w:r>
          </w:p>
        </w:tc>
        <w:tc>
          <w:tcPr/>
          <w:p>
            <w:pPr>
              <w:pStyle w:val="Compact"/>
              <w:jc w:val="left"/>
            </w:pPr>
            <w:r>
              <w:t xml:space="preserve">chuẩn hóa z của TB(c22b₀₁, k33₀₁, k38₀₁):</w:t>
            </w:r>
            <w:r>
              <w:t xml:space="preserve"> </w:t>
            </w:r>
            <w:r>
              <w:rPr>
                <w:bCs/>
                <w:b/>
              </w:rPr>
              <w:t xml:space="preserve">Bậc 1 và 2</w:t>
            </w:r>
          </w:p>
        </w:tc>
        <w:tc>
          <w:tcPr/>
          <w:p>
            <w:pPr>
              <w:pStyle w:val="Compact"/>
              <w:jc w:val="left"/>
            </w:pPr>
            <w:r>
              <w:t xml:space="preserve">Số hoá Bậc 1 và 2 (H3)</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ngành FE (ISIC 1-chữ số)</w:t>
            </w:r>
          </w:p>
        </w:tc>
        <w:tc>
          <w:tcPr/>
          <w:p>
            <w:pPr>
              <w:pStyle w:val="Compact"/>
              <w:jc w:val="left"/>
            </w:pPr>
            <w:r>
              <w:t xml:space="preserve">Hiệu ứng cố định ngành</w:t>
            </w:r>
          </w:p>
        </w:tc>
      </w:tr>
    </w:tbl>
    <w:p>
      <w:r>
        <w:pict>
          <v:rect style="width:0;height:1.5pt" o:hralign="center" o:hrstd="t" o:hr="t"/>
        </w:pict>
      </w:r>
    </w:p>
    <w:bookmarkEnd w:id="124"/>
    <w:bookmarkStart w:id="125"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lõi panel</w:t>
      </w:r>
      <w:r>
        <w:t xml:space="preserve">”</w:t>
      </w:r>
      <w:r>
        <w:t xml:space="preserve"> </w:t>
      </w:r>
      <w:r>
        <w:t xml:space="preserve">(panel core) được sử dụng cho sai số chuẩn gom cụm (cluster-robust SE)). Ký hiệu biến:</w:t>
      </w:r>
    </w:p>
    <w:p>
      <w:pPr>
        <w:numPr>
          <w:ilvl w:val="0"/>
          <w:numId w:val="1011"/>
        </w:numPr>
        <w:pStyle w:val="Compact"/>
      </w:pPr>
      <w:r>
        <w:rPr>
          <w:bCs/>
          <w:b/>
        </w:rPr>
        <w:t xml:space="preserve">lnLP_it</w:t>
      </w:r>
      <w:r>
        <w:t xml:space="preserve">: log năng suất lao động (biến phụ thuộc)</w:t>
      </w:r>
    </w:p>
    <w:p>
      <w:pPr>
        <w:numPr>
          <w:ilvl w:val="0"/>
          <w:numId w:val="1011"/>
        </w:numPr>
        <w:pStyle w:val="Compact"/>
      </w:pPr>
      <w:r>
        <w:rPr>
          <w:bCs/>
          <w:b/>
        </w:rPr>
        <w:t xml:space="preserve">FSTS_c_it</w:t>
      </w:r>
      <w:r>
        <w:t xml:space="preserve">: cường độ xuất khẩu centred theo trung bình sóng</w:t>
      </w:r>
    </w:p>
    <w:p>
      <w:pPr>
        <w:numPr>
          <w:ilvl w:val="0"/>
          <w:numId w:val="1011"/>
        </w:numPr>
        <w:pStyle w:val="Compact"/>
      </w:pPr>
      <w:r>
        <w:rPr>
          <w:bCs/>
          <w:b/>
        </w:rPr>
        <w:t xml:space="preserve">TCI_full_z_it</w:t>
      </w:r>
      <w:r>
        <w:t xml:space="preserve">: năng lực công nghệ toàn diện, chuẩn hóa z của TB(b8₀₁, e6₀₁, h1₀₁, h8₀₁); mở rộng hơn P3</w:t>
      </w:r>
    </w:p>
    <w:p>
      <w:pPr>
        <w:numPr>
          <w:ilvl w:val="0"/>
          <w:numId w:val="1011"/>
        </w:numPr>
        <w:pStyle w:val="Compact"/>
      </w:pPr>
      <w:r>
        <w:rPr>
          <w:bCs/>
          <w:b/>
        </w:rPr>
        <w:t xml:space="preserve">DAI_core_it</w:t>
      </w:r>
      <w:r>
        <w:t xml:space="preserve">: chỉ số số hoá cơ bản, chỉ c22b₀₁ (Bậc 1 mỏng, một chỉ báo nhị phân)</w:t>
      </w:r>
    </w:p>
    <w:p>
      <w:pPr>
        <w:numPr>
          <w:ilvl w:val="0"/>
          <w:numId w:val="1011"/>
        </w:numPr>
        <w:pStyle w:val="Compact"/>
      </w:pPr>
      <w:r>
        <w:rPr>
          <w:bCs/>
          <w:b/>
        </w:rPr>
        <w:t xml:space="preserve">lnL_it</w:t>
      </w:r>
      <w:r>
        <w:t xml:space="preserve"> </w:t>
      </w:r>
      <w:r>
        <w:t xml:space="preserve">= ln(L)_it (quy mô),</w:t>
      </w:r>
      <w:r>
        <w:t xml:space="preserve"> </w:t>
      </w:r>
      <w:r>
        <w:rPr>
          <w:bCs/>
          <w:b/>
        </w:rPr>
        <w:t xml:space="preserve">Age_it</w:t>
      </w:r>
      <w:r>
        <w:t xml:space="preserve"> </w:t>
      </w:r>
      <w:r>
        <w:t xml:space="preserve">(tuổi),</w:t>
      </w:r>
      <w:r>
        <w:t xml:space="preserve"> </w:t>
      </w:r>
      <w:r>
        <w:rPr>
          <w:bCs/>
          <w:b/>
        </w:rPr>
        <w:t xml:space="preserve">Own_it</w:t>
      </w:r>
      <w:r>
        <w:t xml:space="preserve"> </w:t>
      </w:r>
      <w:r>
        <w:t xml:space="preserve">(sở hữu): biến kiểm soát, gộp trong vector</w:t>
      </w:r>
      <w:r>
        <w:t xml:space="preserve"> </w:t>
      </w:r>
      <w:r>
        <w:rPr>
          <w:bCs/>
          <w:b/>
        </w:rPr>
        <w:t xml:space="preserve">X</w:t>
      </w:r>
      <w:r>
        <w:t xml:space="preserve">_it</w:t>
      </w:r>
    </w:p>
    <w:p>
      <w:pPr>
        <w:numPr>
          <w:ilvl w:val="0"/>
          <w:numId w:val="1011"/>
        </w:numPr>
        <w:pStyle w:val="Compact"/>
      </w:pPr>
      <w:r>
        <w:rPr>
          <w:bCs/>
          <w:b/>
        </w:rPr>
        <w:t xml:space="preserve">δ_s</w:t>
      </w:r>
      <w:r>
        <w:t xml:space="preserve">: ngành hiệu ứng cố định;</w:t>
      </w:r>
      <w:r>
        <w:t xml:space="preserve"> </w:t>
      </w:r>
      <w:r>
        <w:rPr>
          <w:bCs/>
          <w:b/>
        </w:rPr>
        <w:t xml:space="preserve">λ_t</w:t>
      </w:r>
      <w:r>
        <w:t xml:space="preserve">: đợt hiệu ứng cố định (pooled)</w:t>
      </w:r>
    </w:p>
    <w:p>
      <w:pPr>
        <w:pStyle w:val="FirstParagraph"/>
      </w:pPr>
      <w:r>
        <w:rPr>
          <w:bCs/>
          <w:b/>
        </w:rPr>
        <w:t xml:space="preserve">Chuỗi mô hình lồng nhau M0–M6:</w:t>
      </w:r>
    </w:p>
    <w:p>
      <w:pPr>
        <w:pStyle w:val="BodyText"/>
      </w:pPr>
      <w:r>
        <w:rPr>
          <w:bCs/>
          <w:b/>
        </w:rPr>
        <w:t xml:space="preserve">M0 (Baseline):</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r>
            <m:t> </m:t>
          </m:r>
          <m:sSub>
            <m:e>
              <m:r>
                <m:rPr>
                  <m:sty m:val="p"/>
                </m:rPr>
                <m:t>A</m:t>
              </m:r>
              <m:r>
                <m:rPr>
                  <m:sty m:val="p"/>
                </m:rPr>
                <m:t>g</m:t>
              </m:r>
              <m:r>
                <m:rPr>
                  <m:sty m:val="p"/>
                </m:rPr>
                <m:t>e</m:t>
              </m:r>
            </m:e>
            <m:sub>
              <m:r>
                <m:t>i</m:t>
              </m:r>
              <m:r>
                <m:t>t</m:t>
              </m:r>
            </m:sub>
          </m:sSub>
          <m:r>
            <m:rPr>
              <m:sty m:val="p"/>
            </m:rPr>
            <m:t>+</m:t>
          </m:r>
          <m:sSub>
            <m:e>
              <m:r>
                <m:t>γ</m:t>
              </m:r>
            </m:e>
            <m:sub>
              <m:r>
                <m:t>3</m:t>
              </m:r>
            </m:sub>
          </m:sSub>
          <m:r>
            <m:t> </m:t>
          </m:r>
          <m:sSub>
            <m:e>
              <m:r>
                <m:rPr>
                  <m:sty m:val="p"/>
                </m:rPr>
                <m:t>O</m:t>
              </m:r>
              <m:r>
                <m:rPr>
                  <m:sty m:val="p"/>
                </m:rPr>
                <m:t>w</m:t>
              </m:r>
              <m:r>
                <m:rPr>
                  <m:sty m:val="p"/>
                </m:rPr>
                <m:t>n</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M1 (Tuyến tính FSTS):</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M2 (Bậc hai FSTS,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r>
          <m:rPr>
            <m:sty m:val="p"/>
          </m:rPr>
          <m:t>,</m:t>
        </m:r>
        <m:r>
          <m:t> </m:t>
        </m:r>
        <m:sSub>
          <m:e>
            <m:r>
              <m:t>β</m:t>
            </m:r>
          </m:e>
          <m:sub>
            <m:r>
              <m:t>2</m:t>
            </m:r>
          </m:sub>
        </m:sSub>
        <m:r>
          <m:rPr>
            <m:sty m:val="p"/>
          </m:rPr>
          <m:t>&lt;</m:t>
        </m:r>
        <m:r>
          <m:t>0</m:t>
        </m:r>
      </m:oMath>
      <w:r>
        <w:t xml:space="preserve">; điểm uốn</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đạt 49,4% (2012), 47,2% (2024), và 48,8% (pooled). Kiểm định ổn định cấu trúc: Paternoster et al. (1998) z-test:</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0</m:t>
        </m:r>
        <m:r>
          <m:rPr>
            <m:sty m:val="p"/>
          </m:rPr>
          <m:t>,</m:t>
        </m:r>
        <m:r>
          <m:t>82</m:t>
        </m:r>
      </m:oMath>
      <w:r>
        <w:t xml:space="preserve"> </w:t>
      </w:r>
      <w:r>
        <w:t xml:space="preserve">(</w:t>
      </w:r>
      <m:oMath>
        <m:r>
          <m:t>p</m:t>
        </m:r>
        <m:r>
          <m:rPr>
            <m:sty m:val="p"/>
          </m:rPr>
          <m:t>=</m:t>
        </m:r>
        <m:r>
          <m:t>0</m:t>
        </m:r>
        <m:r>
          <m:rPr>
            <m:sty m:val="p"/>
          </m:rPr>
          <m:t>,</m:t>
        </m:r>
        <m:r>
          <m:t>412</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0</m:t>
        </m:r>
        <m:r>
          <m:rPr>
            <m:sty m:val="p"/>
          </m:rPr>
          <m:t>,</m:t>
        </m:r>
        <m:r>
          <m:t>61</m:t>
        </m:r>
      </m:oMath>
      <w:r>
        <w:t xml:space="preserve"> </w:t>
      </w:r>
      <w:r>
        <w:t xml:space="preserve">(</w:t>
      </w:r>
      <m:oMath>
        <m:r>
          <m:t>p</m:t>
        </m:r>
        <m:r>
          <m:rPr>
            <m:sty m:val="p"/>
          </m:rPr>
          <m:t>=</m:t>
        </m:r>
        <m:r>
          <m:t>0</m:t>
        </m:r>
        <m:r>
          <m:rPr>
            <m:sty m:val="p"/>
          </m:rPr>
          <m:t>,</m:t>
        </m:r>
        <m:r>
          <m:t>545</m:t>
        </m:r>
      </m:oMath>
      <w:r>
        <w:t xml:space="preserve">), không bác bỏ bình đẳng hệ số giữa hai sóng.</w:t>
      </w:r>
    </w:p>
    <w:p>
      <w:pPr>
        <w:pStyle w:val="BodyText"/>
      </w:pPr>
      <w:r>
        <w:rPr>
          <w:bCs/>
          <w:b/>
        </w:rPr>
        <w:t xml:space="preserve">M3 (+ TCI trực tiếp, H2 nâng mặt bằng):</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Kết quả:</w:t>
      </w:r>
      <w:r>
        <w:t xml:space="preserve"> </w:t>
      </w:r>
      <m:oMath>
        <m:sSub>
          <m:e>
            <m:r>
              <m:t>β</m:t>
            </m:r>
          </m:e>
          <m:sub>
            <m:r>
              <m:t>3</m:t>
            </m:r>
          </m:sub>
        </m:sSub>
        <m:r>
          <m:rPr>
            <m:sty m:val="p"/>
          </m:rPr>
          <m:t>=</m:t>
        </m:r>
        <m:r>
          <m:rPr>
            <m:sty m:val="p"/>
          </m:rPr>
          <m:t>+</m:t>
        </m:r>
        <m:r>
          <m:t>0</m:t>
        </m:r>
        <m:r>
          <m:rPr>
            <m:sty m:val="p"/>
          </m:rPr>
          <m:t>,</m:t>
        </m:r>
        <m:r>
          <m:t>28</m:t>
        </m:r>
      </m:oMath>
      <w:r>
        <w:t xml:space="preserve"> </w:t>
      </w:r>
      <w:r>
        <w:t xml:space="preserve">(2012,</w:t>
      </w:r>
      <w:r>
        <w:t xml:space="preserve"> </w:t>
      </w:r>
      <m:oMath>
        <m:r>
          <m:t>p</m:t>
        </m:r>
        <m:r>
          <m:rPr>
            <m:sty m:val="p"/>
          </m:rPr>
          <m:t>&lt;</m:t>
        </m:r>
        <m:r>
          <m:t>0</m:t>
        </m:r>
        <m:r>
          <m:rPr>
            <m:sty m:val="p"/>
          </m:rPr>
          <m:t>,</m:t>
        </m:r>
        <m:r>
          <m:t>001</m:t>
        </m:r>
      </m:oMath>
      <w:r>
        <w:t xml:space="preserve">),</w:t>
      </w:r>
      <w:r>
        <w:t xml:space="preserve"> </w:t>
      </w:r>
      <m:oMath>
        <m:r>
          <m:rPr>
            <m:sty m:val="p"/>
          </m:rPr>
          <m:t>+</m:t>
        </m:r>
        <m:r>
          <m:t>0</m:t>
        </m:r>
        <m:r>
          <m:rPr>
            <m:sty m:val="p"/>
          </m:rPr>
          <m:t>,</m:t>
        </m:r>
        <m:r>
          <m:t>43</m:t>
        </m:r>
      </m:oMath>
      <w:r>
        <w:t xml:space="preserve"> </w:t>
      </w:r>
      <w:r>
        <w:t xml:space="preserve">(2024,</w:t>
      </w:r>
      <w:r>
        <w:t xml:space="preserve"> </w:t>
      </w:r>
      <m:oMath>
        <m:r>
          <m:t>p</m:t>
        </m:r>
        <m:r>
          <m:rPr>
            <m:sty m:val="p"/>
          </m:rPr>
          <m:t>&lt;</m:t>
        </m:r>
        <m:r>
          <m:t>0</m:t>
        </m:r>
        <m:r>
          <m:rPr>
            <m:sty m:val="p"/>
          </m:rPr>
          <m:t>,</m:t>
        </m:r>
        <m:r>
          <m:t>001</m:t>
        </m:r>
      </m:oMath>
      <w:r>
        <w:t xml:space="preserve">); TCI là</w:t>
      </w:r>
      <w:r>
        <w:t xml:space="preserve"> </w:t>
      </w:r>
      <w:r>
        <w:t xml:space="preserve">“</w:t>
      </w:r>
      <w:r>
        <w:t xml:space="preserve">bộ nâng mặt bằng</w:t>
      </w:r>
      <w:r>
        <w:t xml:space="preserve">”</w:t>
      </w:r>
      <w:r>
        <w:t xml:space="preserve"> </w:t>
      </w:r>
      <w:r>
        <w:t xml:space="preserve">(level-shifter), không điều tiết độ cong.</w:t>
      </w:r>
    </w:p>
    <w:p>
      <w:pPr>
        <w:pStyle w:val="BodyText"/>
      </w:pPr>
      <w:r>
        <w:rPr>
          <w:bCs/>
          <w:b/>
        </w:rPr>
        <w:t xml:space="preserve">M4 (+ DAI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M5 (Kiểm định ổn định xuyên sóng, H2b):</w:t>
      </w:r>
      <w:r>
        <w:t xml:space="preserve"> </w:t>
      </w:r>
      <w:r>
        <w:t xml:space="preserve">Ước lượng M2 riêng biệt cho 2012 và 2024, sau đó áp dụng</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sSubSup>
                    <m:e>
                      <m:r>
                        <m:rPr>
                          <m:sty m:val="p"/>
                        </m:rPr>
                        <m:t>S</m:t>
                      </m:r>
                      <m:r>
                        <m:rPr>
                          <m:sty m:val="p"/>
                        </m:rPr>
                        <m:t>E</m:t>
                      </m:r>
                    </m:e>
                    <m:sub>
                      <m:r>
                        <m:t>1</m:t>
                      </m:r>
                      <m:r>
                        <m:rPr>
                          <m:sty m:val="p"/>
                        </m:rPr>
                        <m:t>,</m:t>
                      </m:r>
                      <m:r>
                        <m:t>2012</m:t>
                      </m:r>
                    </m:sub>
                    <m:sup>
                      <m:r>
                        <m:t>2</m:t>
                      </m:r>
                    </m:sup>
                  </m:sSubSup>
                  <m:r>
                    <m:rPr>
                      <m:sty m:val="p"/>
                    </m:rPr>
                    <m:t>+</m:t>
                  </m:r>
                  <m:sSubSup>
                    <m:e>
                      <m:r>
                        <m:rPr>
                          <m:sty m:val="p"/>
                        </m:rPr>
                        <m:t>S</m:t>
                      </m:r>
                      <m:r>
                        <m:rPr>
                          <m:sty m:val="p"/>
                        </m:rPr>
                        <m:t>E</m:t>
                      </m:r>
                    </m:e>
                    <m:sub>
                      <m:r>
                        <m:t>1</m:t>
                      </m:r>
                      <m:r>
                        <m:rPr>
                          <m:sty m:val="p"/>
                        </m:rPr>
                        <m:t>,</m:t>
                      </m:r>
                      <m:r>
                        <m:t>2024</m:t>
                      </m:r>
                    </m:sub>
                    <m:sup>
                      <m:r>
                        <m:t>2</m:t>
                      </m:r>
                    </m:sup>
                  </m:sSubSup>
                </m:e>
              </m:rad>
            </m:den>
          </m:f>
        </m:oMath>
      </m:oMathPara>
    </w:p>
    <w:p>
      <w:pPr>
        <w:pStyle w:val="FirstParagraph"/>
      </w:pPr>
      <w:r>
        <w:t xml:space="preserve">(Paternoster et al., 1998), tương tự cho</w:t>
      </w:r>
      <w:r>
        <w:t xml:space="preserve"> </w:t>
      </w:r>
      <m:oMath>
        <m:sSub>
          <m:e>
            <m:r>
              <m:t>β</m:t>
            </m:r>
          </m:e>
          <m:sub>
            <m:r>
              <m:t>2</m:t>
            </m:r>
          </m:sub>
        </m:sSub>
      </m:oMath>
      <w:r>
        <w:t xml:space="preserve"> </w:t>
      </w:r>
      <w:r>
        <w:t xml:space="preserve">(</w:t>
      </w:r>
      <m:oMath>
        <m:sSup>
          <m:e>
            <m:r>
              <m:rPr>
                <m:sty m:val="p"/>
              </m:rPr>
              <m:t>F</m:t>
            </m:r>
            <m:r>
              <m:rPr>
                <m:sty m:val="p"/>
              </m:rPr>
              <m:t>S</m:t>
            </m:r>
            <m:r>
              <m:rPr>
                <m:sty m:val="p"/>
              </m:rPr>
              <m:t>T</m:t>
            </m:r>
            <m:r>
              <m:rPr>
                <m:sty m:val="p"/>
              </m:rPr>
              <m:t>S</m:t>
            </m:r>
          </m:e>
          <m:sup>
            <m:r>
              <m:t>2</m:t>
            </m:r>
          </m:sup>
        </m:sSup>
      </m:oMath>
      <w:r>
        <w:t xml:space="preserve">).</w:t>
      </w:r>
    </w:p>
    <w:p>
      <w:pPr>
        <w:pStyle w:val="BodyText"/>
      </w:pPr>
      <w:r>
        <w:rPr>
          <w:bCs/>
          <w:b/>
        </w:rPr>
        <w:t xml:space="preserve">M6 (Điều tiết ba chiều, kiểm định H3/H4a/H4b):</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r>
                      <m:t>t</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r>
                          <m:t>t</m:t>
                        </m:r>
                      </m:sub>
                    </m:sSub>
                    <m:r>
                      <m:rPr>
                        <m:sty m:val="p"/>
                      </m:rPr>
                      <m:t>×</m:t>
                    </m:r>
                    <m:sSub>
                      <m:e>
                        <m:r>
                          <m:rPr>
                            <m:sty m:val="p"/>
                          </m:rPr>
                          <m:t>T</m:t>
                        </m:r>
                        <m:r>
                          <m:rPr>
                            <m:sty m:val="p"/>
                          </m:rPr>
                          <m:t>C</m:t>
                        </m:r>
                        <m:r>
                          <m:rPr>
                            <m:sty m:val="p"/>
                          </m:rPr>
                          <m:t>I</m:t>
                        </m:r>
                      </m:e>
                      <m:sub>
                        <m:r>
                          <m:t>z</m:t>
                        </m:r>
                        <m:r>
                          <m:rPr>
                            <m:sty m:val="p"/>
                          </m:rPr>
                          <m:t>,</m:t>
                        </m:r>
                        <m:r>
                          <m:t>i</m:t>
                        </m:r>
                        <m:r>
                          <m:t>t</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rPr>
                            <m:sty m:val="p"/>
                          </m:rPr>
                          <m:t>T</m:t>
                        </m:r>
                        <m:r>
                          <m:rPr>
                            <m:sty m:val="p"/>
                          </m:rPr>
                          <m:t>C</m:t>
                        </m:r>
                        <m:r>
                          <m:rPr>
                            <m:sty m:val="p"/>
                          </m:rPr>
                          <m:t>I</m:t>
                        </m:r>
                      </m:e>
                      <m:sub>
                        <m:r>
                          <m:t>z</m:t>
                        </m:r>
                        <m:r>
                          <m:rPr>
                            <m:sty m:val="p"/>
                          </m:rPr>
                          <m:t>,</m:t>
                        </m:r>
                        <m:r>
                          <m:t>i</m:t>
                        </m:r>
                        <m:r>
                          <m:t>t</m:t>
                        </m:r>
                      </m:sub>
                    </m:sSub>
                  </m:e>
                </m:d>
              </m:e>
            </m:mr>
            <m:mr>
              <m:e/>
              <m:e>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r>
                          <m:t>t</m:t>
                        </m:r>
                      </m:sub>
                    </m:sSub>
                    <m:r>
                      <m:rPr>
                        <m:sty m:val="p"/>
                      </m:rPr>
                      <m:t>×</m:t>
                    </m:r>
                    <m:r>
                      <m:rPr>
                        <m:sty m:val="p"/>
                      </m:rPr>
                      <m:t>w</m:t>
                    </m:r>
                    <m:r>
                      <m:rPr>
                        <m:sty m:val="p"/>
                      </m:rPr>
                      <m:t>a</m:t>
                    </m:r>
                    <m:r>
                      <m:rPr>
                        <m:sty m:val="p"/>
                      </m:rPr>
                      <m:t>v</m:t>
                    </m:r>
                    <m:r>
                      <m:rPr>
                        <m:sty m:val="p"/>
                      </m:rPr>
                      <m:t>e</m:t>
                    </m:r>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p"/>
                      </m:rPr>
                      <m:t>w</m:t>
                    </m:r>
                    <m:r>
                      <m:rPr>
                        <m:sty m:val="p"/>
                      </m:rPr>
                      <m:t>a</m:t>
                    </m:r>
                    <m:r>
                      <m:rPr>
                        <m:sty m:val="p"/>
                      </m:rPr>
                      <m:t>v</m:t>
                    </m:r>
                    <m:r>
                      <m:rPr>
                        <m:sty m:val="p"/>
                      </m:rPr>
                      <m:t>e</m:t>
                    </m:r>
                  </m:e>
                </m:d>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e>
            </m:mr>
          </m:m>
        </m:oMath>
      </m:oMathPara>
    </w:p>
    <w:p>
      <w:pPr>
        <w:pStyle w:val="FirstParagraph"/>
      </w:pPr>
      <w:r>
        <w:t xml:space="preserve">F-tests: F1 (dịch chuyển độ cong xuyên sóng), F2 (điều tiết năng lực), F3 (dịch chuyển điều kiện). Kết quả:</w:t>
      </w:r>
      <w:r>
        <w:t xml:space="preserve"> </w:t>
      </w:r>
      <m:oMath>
        <m:sSub>
          <m:e>
            <m:r>
              <m:t>F</m:t>
            </m:r>
          </m:e>
          <m:sub>
            <m:r>
              <m:t>2</m:t>
            </m:r>
          </m:sub>
        </m:sSub>
        <m:r>
          <m:rPr>
            <m:sty m:val="p"/>
          </m:rPr>
          <m:t>=</m:t>
        </m:r>
        <m:r>
          <m:t>3</m:t>
        </m:r>
        <m:r>
          <m:rPr>
            <m:sty m:val="p"/>
          </m:rPr>
          <m:t>,</m:t>
        </m:r>
        <m:r>
          <m:t>26</m:t>
        </m:r>
      </m:oMath>
      <w:r>
        <w:t xml:space="preserve"> </w:t>
      </w:r>
      <w:r>
        <w:t xml:space="preserve">(</w:t>
      </w:r>
      <m:oMath>
        <m:r>
          <m:t>p</m:t>
        </m:r>
        <m:r>
          <m:rPr>
            <m:sty m:val="p"/>
          </m:rPr>
          <m:t>=</m:t>
        </m:r>
        <m:r>
          <m:t>0</m:t>
        </m:r>
        <m:r>
          <m:rPr>
            <m:sty m:val="p"/>
          </m:rPr>
          <m:t>,</m:t>
        </m:r>
        <m:r>
          <m:t>039</m:t>
        </m:r>
      </m:oMath>
      <w:r>
        <w:t xml:space="preserve">, không qua Bonferroni</w:t>
      </w:r>
      <w:r>
        <w:t xml:space="preserve"> </w:t>
      </w:r>
      <m:oMath>
        <m:sSup>
          <m:e>
            <m:r>
              <m:t>α</m:t>
            </m:r>
          </m:e>
          <m:sup>
            <m:r>
              <m:rPr>
                <m:sty m:val="p"/>
              </m:rPr>
              <m:t>*</m:t>
            </m:r>
          </m:sup>
        </m:sSup>
        <m:r>
          <m:rPr>
            <m:sty m:val="p"/>
          </m:rPr>
          <m:t>=</m:t>
        </m:r>
        <m:r>
          <m:t>0</m:t>
        </m:r>
        <m:r>
          <m:rPr>
            <m:sty m:val="p"/>
          </m:rPr>
          <m:t>,</m:t>
        </m:r>
        <m:r>
          <m:t>017</m:t>
        </m:r>
      </m:oMath>
      <w:r>
        <w:t xml:space="preserve">), do đó H4b (không có điều tiết độ cong theo năng lực) được chấp nhận.</w:t>
      </w:r>
    </w:p>
    <w:p>
      <w:pPr>
        <w:pStyle w:val="BodyText"/>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Phi tuyến (H1)</w:t>
            </w:r>
          </w:p>
        </w:tc>
      </w:tr>
      <w:tr>
        <w:tc>
          <w:tcPr/>
          <w:p>
            <w:pPr>
              <w:pStyle w:val="Compact"/>
              <w:jc w:val="left"/>
            </w:pPr>
            <w:r>
              <w:t xml:space="preserve">TCI_z</w:t>
            </w:r>
          </w:p>
        </w:tc>
        <w:tc>
          <w:tcPr/>
          <w:p>
            <w:pPr>
              <w:pStyle w:val="Compact"/>
              <w:jc w:val="left"/>
            </w:pPr>
            <w:r>
              <w:t xml:space="preserve">b8, e6, h1, h8</w:t>
            </w:r>
          </w:p>
        </w:tc>
        <w:tc>
          <w:tcPr/>
          <w:p>
            <w:pPr>
              <w:pStyle w:val="Compact"/>
              <w:jc w:val="left"/>
            </w:pPr>
            <w:r>
              <w:t xml:space="preserve">chuẩn hóa z của TB(b8₀₁, e6₀₁, h1₀₁, h8₀₁): TCI toàn diện</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c22b₀₁:</w:t>
            </w:r>
            <w:r>
              <w:t xml:space="preserve"> </w:t>
            </w:r>
            <w:r>
              <w:rPr>
                <w:bCs/>
                <w:b/>
              </w:rPr>
              <w:t xml:space="preserve">Bậc 1 đơn biến</w:t>
            </w:r>
            <w:r>
              <w:t xml:space="preserve"> </w:t>
            </w:r>
            <w:r>
              <w:t xml:space="preserve">(binary)</w:t>
            </w:r>
          </w:p>
        </w:tc>
        <w:tc>
          <w:tcPr/>
          <w:p>
            <w:pPr>
              <w:pStyle w:val="Compact"/>
              <w:jc w:val="left"/>
            </w:pPr>
            <w:r>
              <w:t xml:space="preserve">Số hoá Bậc 1 mỏng (kiểm soát)</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ngành</w:t>
            </w:r>
          </w:p>
        </w:tc>
        <w:tc>
          <w:tcPr/>
          <w:p>
            <w:pPr>
              <w:pStyle w:val="Compact"/>
              <w:jc w:val="left"/>
            </w:pPr>
            <w:r>
              <w:t xml:space="preserve">ngành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lõi panel</w:t>
      </w:r>
      <w:r>
        <w:rPr>
          <w:iCs/>
          <w:i/>
        </w:rPr>
        <w:t xml:space="preserve">”</w:t>
      </w:r>
      <w:r>
        <w:rPr>
          <w:iCs/>
          <w:i/>
        </w:rPr>
        <w:t xml:space="preserve">) tạo thêm nhận dạng biến thiên trong mẫu trong khi sai số chuẩn gom cụm theo idstd xử lý tương quan nội nhóm. DAI Trung Quốc chỉ là Bậc 1 đơn biến, không đủ để kiểm định CDCM; hàm ý chính sách và lý thuyết khác với P4 Singapore (Bậc 1 và 2).</w:t>
      </w:r>
    </w:p>
    <w:p>
      <w:r>
        <w:pict>
          <v:rect style="width:0;height:1.5pt" o:hralign="center" o:hrstd="t" o:hr="t"/>
        </w:pict>
      </w:r>
    </w:p>
    <w:bookmarkEnd w:id="125"/>
    <w:bookmarkStart w:id="131" w:name="X2a5dc3aad8f8594bf12150debe5bfd020984bc8"/>
    <w:p>
      <w:pPr>
        <w:pStyle w:val="Heading3"/>
      </w:pPr>
      <w:r>
        <w:t xml:space="preserve">3.4.5.4 Mô hình cụ thể: Nghiên cứu 7 (Đa quốc gia châu Á, WBES 2006–2026)</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biến:</w:t>
      </w:r>
    </w:p>
    <w:p>
      <w:pPr>
        <w:numPr>
          <w:ilvl w:val="0"/>
          <w:numId w:val="1012"/>
        </w:numPr>
        <w:pStyle w:val="Compact"/>
      </w:pPr>
      <w:r>
        <w:rPr>
          <w:bCs/>
          <w:b/>
        </w:rPr>
        <w:t xml:space="preserve">lnLP_it</w:t>
      </w:r>
      <w:r>
        <w:t xml:space="preserve">: ln(năng suất lao động) = ln(doanh thu / lao động thường trực), biến phụ thuộc</w:t>
      </w:r>
    </w:p>
    <w:p>
      <w:pPr>
        <w:numPr>
          <w:ilvl w:val="0"/>
          <w:numId w:val="1012"/>
        </w:numPr>
        <w:pStyle w:val="Compact"/>
      </w:pPr>
      <w:r>
        <w:rPr>
          <w:bCs/>
          <w:b/>
        </w:rPr>
        <w:t xml:space="preserve">FSTS_c_it</w:t>
      </w:r>
      <w:r>
        <w:t xml:space="preserve">: cường độ xuất khẩu mean-centred, FSTS_c = (d3c/100) − mean_pool(FSTS)</w:t>
      </w:r>
    </w:p>
    <w:p>
      <w:pPr>
        <w:numPr>
          <w:ilvl w:val="0"/>
          <w:numId w:val="1012"/>
        </w:numPr>
        <w:pStyle w:val="Compact"/>
      </w:pPr>
      <w:r>
        <w:rPr>
          <w:bCs/>
          <w:b/>
        </w:rPr>
        <w:t xml:space="preserve">FSTS_c²_it</w:t>
      </w:r>
      <w:r>
        <w:t xml:space="preserve">: FSTS_c bình phương, kiểm định phi tuyến</w:t>
      </w:r>
    </w:p>
    <w:p>
      <w:pPr>
        <w:numPr>
          <w:ilvl w:val="0"/>
          <w:numId w:val="1012"/>
        </w:numPr>
        <w:pStyle w:val="Compact"/>
      </w:pPr>
      <w:r>
        <w:rPr>
          <w:bCs/>
          <w:b/>
        </w:rPr>
        <w:t xml:space="preserve">TCI_z_it</w:t>
      </w:r>
      <w:r>
        <w:t xml:space="preserve">: năng lực công nghệ z-standardised, TCI_z = chuẩn hóa z(b8, e6)</w:t>
      </w:r>
    </w:p>
    <w:p>
      <w:pPr>
        <w:numPr>
          <w:ilvl w:val="0"/>
          <w:numId w:val="1012"/>
        </w:numPr>
        <w:pStyle w:val="Compact"/>
      </w:pPr>
      <w:r>
        <w:rPr>
          <w:bCs/>
          <w:b/>
        </w:rPr>
        <w:t xml:space="preserve">DAI_z_it</w:t>
      </w:r>
      <w:r>
        <w:t xml:space="preserve">: chỉ số số hoá z-standardised, DAI_z = chuẩn hóa z(website + e-pay, Bậc 1 và 2: c22b/e1, k33)</w:t>
      </w:r>
    </w:p>
    <w:p>
      <w:pPr>
        <w:numPr>
          <w:ilvl w:val="0"/>
          <w:numId w:val="1012"/>
        </w:numPr>
        <w:pStyle w:val="Compact"/>
      </w:pPr>
      <w:r>
        <w:rPr>
          <w:bCs/>
          <w:b/>
        </w:rPr>
        <w:t xml:space="preserve">MgrExp_it</w:t>
      </w:r>
      <w:r>
        <w:t xml:space="preserve">: kinh nghiệm nhà quản lý trong ngành (năm, b7)</w:t>
      </w:r>
    </w:p>
    <w:p>
      <w:pPr>
        <w:numPr>
          <w:ilvl w:val="0"/>
          <w:numId w:val="1012"/>
        </w:numPr>
        <w:pStyle w:val="Compact"/>
      </w:pPr>
      <w:r>
        <w:rPr>
          <w:bCs/>
          <w:b/>
        </w:rPr>
        <w:t xml:space="preserve">MgrFem_it</w:t>
      </w:r>
      <w:r>
        <w:t xml:space="preserve">: top manager là nữ (binary, b7a/b6a)</w:t>
      </w:r>
    </w:p>
    <w:p>
      <w:pPr>
        <w:numPr>
          <w:ilvl w:val="0"/>
          <w:numId w:val="1012"/>
        </w:numPr>
        <w:pStyle w:val="Compact"/>
      </w:pPr>
      <w:r>
        <w:rPr>
          <w:bCs/>
          <w:b/>
        </w:rPr>
        <w:t xml:space="preserve">ICRV_j</w:t>
      </w:r>
      <w:r>
        <w:t xml:space="preserve">: phân loại chế độ thể chế ICRV (integer 1–6, Advanced sang SIDS)</w:t>
      </w:r>
    </w:p>
    <w:p>
      <w:pPr>
        <w:numPr>
          <w:ilvl w:val="0"/>
          <w:numId w:val="1012"/>
        </w:numPr>
        <w:pStyle w:val="Compact"/>
      </w:pPr>
      <w:r>
        <w:rPr>
          <w:bCs/>
          <w:b/>
        </w:rPr>
        <w:t xml:space="preserve">lnL_it</w:t>
      </w:r>
      <w:r>
        <w:t xml:space="preserve">: ln(lao động thường trực), kiểm soát quy mô doanh nghiệp</w:t>
      </w:r>
    </w:p>
    <w:p>
      <w:pPr>
        <w:numPr>
          <w:ilvl w:val="0"/>
          <w:numId w:val="1012"/>
        </w:numPr>
        <w:pStyle w:val="Compact"/>
      </w:pPr>
      <w:r>
        <w:rPr>
          <w:bCs/>
          <w:b/>
        </w:rPr>
        <w:t xml:space="preserve">Age_it</w:t>
      </w:r>
      <w:r>
        <w:t xml:space="preserve">: tuổi doanh nghiệp (năm_khảo_sát − b5)</w:t>
      </w:r>
    </w:p>
    <w:p>
      <w:pPr>
        <w:numPr>
          <w:ilvl w:val="0"/>
          <w:numId w:val="1012"/>
        </w:numPr>
        <w:pStyle w:val="Compact"/>
      </w:pPr>
      <w:r>
        <w:rPr>
          <w:bCs/>
          <w:b/>
        </w:rPr>
        <w:t xml:space="preserve">Own_it</w:t>
      </w:r>
      <w:r>
        <w:t xml:space="preserve">: tỷ lệ sở hữu nước ngoài (b6a/100)</w:t>
      </w:r>
    </w:p>
    <w:p>
      <w:pPr>
        <w:numPr>
          <w:ilvl w:val="0"/>
          <w:numId w:val="1012"/>
        </w:numPr>
        <w:pStyle w:val="Compact"/>
      </w:pPr>
      <w:r>
        <w:rPr>
          <w:bCs/>
          <w:b/>
        </w:rPr>
        <w:t xml:space="preserve">δ_ct</w:t>
      </w:r>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(mô hình tuyến tính cơ sở):</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ε</m:t>
              </m:r>
            </m:e>
            <m:sub>
              <m:r>
                <m:t>i</m:t>
              </m:r>
              <m:r>
                <m:t>t</m:t>
              </m:r>
            </m:sub>
          </m:sSub>
        </m:oMath>
      </m:oMathPara>
    </w:p>
    <w:p>
      <w:pPr>
        <w:pStyle w:val="FirstParagraph"/>
      </w:pPr>
      <m:oMathPara>
        <m:oMathParaPr>
          <m:jc m:val="center"/>
        </m:oMathParaP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rPr>
              <m:sty m:val="p"/>
            </m:rPr>
            <m:t>T</m:t>
          </m:r>
          <m:r>
            <m:rPr>
              <m:sty m:val="p"/>
            </m:rP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r>
            <m:rPr>
              <m:sty m:val="b"/>
            </m:rPr>
            <m:t>γ</m:t>
          </m:r>
          <m:sSub>
            <m:e>
              <m:r>
                <m:rPr>
                  <m:sty m:val="b"/>
                </m:rP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r>
            <m:rPr>
              <m:sty m:val="b"/>
            </m:rPr>
            <m:t>γ</m:t>
          </m:r>
          <m:sSub>
            <m:e>
              <m:r>
                <m:rPr>
                  <m:sty m:val="b"/>
                </m:rP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rPr>
              <m:sty m:val="p"/>
            </m:rPr>
            <m:t>T</m:t>
          </m:r>
          <m:r>
            <m:rPr>
              <m:sty m:val="p"/>
            </m:rP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TCI, kiểm định H2):</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oMath>
      </m:oMathPara>
    </w:p>
    <w:p>
      <w:pPr>
        <w:pStyle w:val="FirstParagraph"/>
      </w:pPr>
      <m:oMathPara>
        <m:oMathParaPr>
          <m:jc m:val="center"/>
        </m:oMathParaPr>
        <m:oMath>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T</m:t>
                  </m:r>
                  <m:r>
                    <m:rPr>
                      <m:sty m:val="p"/>
                    </m:rPr>
                    <m:t>C</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T</m:t>
                  </m:r>
                  <m:r>
                    <m:rPr>
                      <m:sty m:val="p"/>
                    </m:rPr>
                    <m:t>C</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w:r>
        <w:rPr>
          <w:bCs/>
          <w:b/>
        </w:rPr>
        <w:t xml:space="preserve">M8</w:t>
      </w:r>
      <w:r>
        <w:t xml:space="preserve"> </w:t>
      </w:r>
      <w:r>
        <w:t xml:space="preserve">(M7 + điều tiết DAI, kiểm định H3):</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6</m:t>
              </m:r>
            </m:sub>
          </m:sSub>
          <m:sSub>
            <m:e>
              <m:r>
                <m:rPr>
                  <m:sty m:val="p"/>
                </m:rPr>
                <m:t>D</m:t>
              </m:r>
              <m:r>
                <m:rPr>
                  <m:sty m:val="p"/>
                </m:rPr>
                <m:t>A</m:t>
              </m:r>
              <m:r>
                <m:rPr>
                  <m:sty m:val="p"/>
                </m:rPr>
                <m:t>I</m:t>
              </m:r>
            </m:e>
            <m:sub>
              <m:r>
                <m:t>z</m:t>
              </m:r>
            </m:sub>
          </m:sSub>
        </m:oMath>
      </m:oMathPara>
    </w:p>
    <w:p>
      <w:pPr>
        <w:pStyle w:val="FirstParagraph"/>
      </w:pPr>
      <m:oMathPara>
        <m:oMathParaPr>
          <m:jc m:val="center"/>
        </m:oMathParaPr>
        <m:oMath>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H3: </m:t>
                </m:r>
              </m:e>
              <m:e>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sty m:val="p"/>
                  </m:rPr>
                  <m:t>,</m:t>
                </m:r>
              </m:e>
            </m:mr>
            <m:mr>
              <m:e/>
              <m:e>
                <m:r>
                  <m:rPr>
                    <m:nor/>
                    <m:sty m:val="p"/>
                  </m:rPr>
                  <m:t>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e>
            </m:mr>
          </m:m>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rPr>
              <m:sty m:val="p"/>
            </m:rPr>
            <m:t>M</m:t>
          </m:r>
          <m:r>
            <m:rPr>
              <m:sty m:val="p"/>
            </m:rPr>
            <m:t>g</m:t>
          </m:r>
          <m:r>
            <m:rPr>
              <m:sty m:val="p"/>
            </m:rPr>
            <m:t>r</m:t>
          </m:r>
          <m:r>
            <m:rPr>
              <m:sty m:val="p"/>
            </m:rPr>
            <m:t>E</m:t>
          </m:r>
          <m:r>
            <m:rPr>
              <m:sty m:val="p"/>
            </m:rPr>
            <m:t>x</m:t>
          </m:r>
          <m:r>
            <m:rPr>
              <m:sty m:val="p"/>
            </m:rPr>
            <m:t>p</m:t>
          </m:r>
          <m:r>
            <m:rPr>
              <m:sty m:val="p"/>
            </m:rPr>
            <m:t>+</m:t>
          </m:r>
          <m:sSub>
            <m:e>
              <m:r>
                <m:t>β</m:t>
              </m:r>
            </m:e>
            <m:sub>
              <m:r>
                <m:t>10</m:t>
              </m:r>
            </m:sub>
          </m:sSub>
          <m:r>
            <m:rPr>
              <m:sty m:val="p"/>
            </m:rPr>
            <m:t>M</m:t>
          </m:r>
          <m:r>
            <m:rPr>
              <m:sty m:val="p"/>
            </m:rPr>
            <m:t>g</m:t>
          </m:r>
          <m:r>
            <m:rPr>
              <m:sty m:val="p"/>
            </m:rPr>
            <m:t>r</m:t>
          </m:r>
          <m:r>
            <m:rPr>
              <m:sty m:val="p"/>
            </m:rPr>
            <m:t>F</m:t>
          </m:r>
          <m:r>
            <m:rPr>
              <m:sty m:val="p"/>
            </m:rPr>
            <m:t>e</m:t>
          </m:r>
          <m:r>
            <m:rPr>
              <m:sty m:val="p"/>
            </m:rPr>
            <m:t>m</m:t>
          </m:r>
          <m:r>
            <m:rPr>
              <m:sty m:val="p"/>
            </m:rPr>
            <m:t>+</m:t>
          </m:r>
          <m:sSub>
            <m:e>
              <m:r>
                <m:t>β</m:t>
              </m:r>
            </m:e>
            <m:sub>
              <m:r>
                <m:t>11</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M</m:t>
              </m:r>
              <m:r>
                <m:rPr>
                  <m:sty m:val="p"/>
                </m:rPr>
                <m:t>g</m:t>
              </m:r>
              <m:r>
                <m:rPr>
                  <m:sty m:val="p"/>
                </m:rPr>
                <m:t>r</m:t>
              </m:r>
              <m:r>
                <m:rPr>
                  <m:sty m:val="p"/>
                </m:rPr>
                <m:t>E</m:t>
              </m:r>
              <m:r>
                <m:rPr>
                  <m:sty m:val="p"/>
                </m:rPr>
                <m:t>x</m:t>
              </m:r>
              <m:r>
                <m:rPr>
                  <m:sty m:val="p"/>
                </m:rPr>
                <m:t>p</m:t>
              </m:r>
            </m:e>
          </m:d>
          <m:r>
            <m:rPr>
              <m:sty m:val="p"/>
            </m:rPr>
            <m:t>+</m:t>
          </m:r>
          <m:r>
            <m:rPr>
              <m:sty m:val="b"/>
            </m:rPr>
            <m:t>γ</m:t>
          </m:r>
          <m:r>
            <m:rPr>
              <m:sty m:val="b"/>
            </m:rP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104</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e>
          </m:d>
          <m:r>
            <m:rPr>
              <m:nor/>
              <m:sty m:val="p"/>
            </m:rPr>
            <m:t> (nữ quản lý cấp cao: hệ số mức âm;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11</m:t>
              </m:r>
            </m:sub>
          </m:sSub>
          <m:sSub>
            <m:e>
              <m:r>
                <m:rPr>
                  <m:sty m:val="p"/>
                </m:rPr>
                <m:t>I</m:t>
              </m:r>
              <m:r>
                <m:rPr>
                  <m:sty m:val="p"/>
                </m:rPr>
                <m:t>C</m:t>
              </m:r>
              <m:r>
                <m:rPr>
                  <m:sty m:val="p"/>
                </m:rPr>
                <m:t>R</m:t>
              </m:r>
              <m:r>
                <m:rPr>
                  <m:sty m:val="p"/>
                </m:rP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r>
                <m:rPr>
                  <m:sty m:val="p"/>
                </m:rPr>
                <m:t>I</m:t>
              </m:r>
              <m:r>
                <m:rPr>
                  <m:sty m:val="p"/>
                </m:rPr>
                <m:t>C</m:t>
              </m:r>
              <m:r>
                <m:rPr>
                  <m:sty m:val="p"/>
                </m:rPr>
                <m:t>R</m:t>
              </m:r>
              <m:r>
                <m:rPr>
                  <m:sty m:val="p"/>
                </m:rPr>
                <m:t>V</m:t>
              </m:r>
            </m:e>
          </m:d>
          <m:r>
            <m:rPr>
              <m:sty m:val="p"/>
            </m:rPr>
            <m:t>+</m:t>
          </m:r>
          <m:r>
            <m:rPr>
              <m:sty m:val="b"/>
            </m:rPr>
            <m:t>γ</m:t>
          </m:r>
          <m:r>
            <m:rPr>
              <m:sty m:val="b"/>
            </m:rP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H5 (ba vùng): </m:t>
                </m:r>
              </m:e>
              <m:e>
                <m:r>
                  <m:rPr>
                    <m:nor/>
                    <m:sty m:val="p"/>
                  </m:rPr>
                  <m:t>chữ U ngược định hình rõ ở Nhóm IV </m:t>
                </m:r>
                <m:d>
                  <m:dPr>
                    <m:begChr m:val="("/>
                    <m:endChr m:val=")"/>
                    <m:sepChr m:val=""/>
                    <m:grow/>
                  </m:dPr>
                  <m:e>
                    <m:r>
                      <m:rPr>
                        <m:sty m:val="p"/>
                      </m:rPr>
                      <m:t>T</m:t>
                    </m:r>
                    <m:r>
                      <m:rPr>
                        <m:sty m:val="p"/>
                      </m:rP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e>
            </m:mr>
            <m:mr>
              <m:e/>
              <m:e>
                <m:r>
                  <m:rPr>
                    <m:nor/>
                    <m:sty m:val="p"/>
                  </m:rPr>
                  <m:t>gần tuyến tính ở Nhóm I; mất cấu trúc ở Nhóm V–VI</m:t>
                </m:r>
              </m:e>
            </m:mr>
          </m:m>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6</m:t>
              </m:r>
            </m:sub>
          </m:sSub>
          <m:sSub>
            <m:e>
              <m:r>
                <m:rPr>
                  <m:sty m:val="p"/>
                </m:rPr>
                <m:t>D</m:t>
              </m:r>
              <m:r>
                <m:rPr>
                  <m:sty m:val="p"/>
                </m:rPr>
                <m:t>A</m:t>
              </m:r>
              <m:r>
                <m:rPr>
                  <m:sty m:val="p"/>
                </m:rPr>
                <m:t>I</m:t>
              </m:r>
            </m:e>
            <m:sub>
              <m:r>
                <m:t>z</m:t>
              </m:r>
            </m:sub>
          </m:sSub>
          <m:r>
            <m:rPr>
              <m:sty m:val="p"/>
            </m:rPr>
            <m:t>+</m:t>
          </m:r>
          <m:sSub>
            <m:e>
              <m:r>
                <m:t>β</m:t>
              </m:r>
            </m:e>
            <m:sub>
              <m:r>
                <m:t>11</m:t>
              </m:r>
            </m:sub>
          </m:sSub>
          <m:r>
            <m:rPr>
              <m:sty m:val="p"/>
            </m:rPr>
            <m:t>I</m:t>
          </m:r>
          <m:r>
            <m:rPr>
              <m:sty m:val="p"/>
            </m:rPr>
            <m:t>C</m:t>
          </m:r>
          <m:r>
            <m:rPr>
              <m:sty m:val="p"/>
            </m:rPr>
            <m:t>R</m:t>
          </m:r>
          <m:r>
            <m:rPr>
              <m:sty m:val="p"/>
            </m:rPr>
            <m:t>V</m:t>
          </m:r>
        </m:oMath>
      </m:oMathPara>
    </w:p>
    <w:p>
      <w:pPr>
        <w:pStyle w:val="FirstParagraph"/>
      </w:pPr>
      <m:oMathPara>
        <m:oMathParaPr>
          <m:jc m:val="center"/>
        </m:oMathParaPr>
        <m:oMath>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oMath>
      </m:oMathPara>
    </w:p>
    <w:p>
      <w:pPr>
        <w:pStyle w:val="FirstParagraph"/>
      </w:pPr>
      <m:oMathPara>
        <m:oMathParaPr>
          <m:jc m:val="center"/>
        </m:oMathParaPr>
        <m:oMath>
          <m:r>
            <m:rPr>
              <m:sty m:val="p"/>
            </m:rPr>
            <m:t>+</m:t>
          </m:r>
          <m:sSub>
            <m:e>
              <m:r>
                <m:t>β</m:t>
              </m:r>
            </m:e>
            <m:sub>
              <m:r>
                <m:t>12</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r>
                <m:rPr>
                  <m:sty m:val="p"/>
                </m:rPr>
                <m:t>I</m:t>
              </m:r>
              <m:r>
                <m:rPr>
                  <m:sty m:val="p"/>
                </m:rPr>
                <m:t>C</m:t>
              </m:r>
              <m:r>
                <m:rPr>
                  <m:sty m:val="p"/>
                </m:rPr>
                <m:t>R</m:t>
              </m:r>
              <m:r>
                <m:rPr>
                  <m:sty m:val="p"/>
                </m:rP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r>
                <m:rPr>
                  <m:sty m:val="p"/>
                </m:rPr>
                <m:t>×</m:t>
              </m:r>
              <m:r>
                <m:rPr>
                  <m:sty m:val="p"/>
                </m:rPr>
                <m:t>I</m:t>
              </m:r>
              <m:r>
                <m:rPr>
                  <m:sty m:val="p"/>
                </m:rPr>
                <m:t>C</m:t>
              </m:r>
              <m:r>
                <m:rPr>
                  <m:sty m:val="p"/>
                </m:rPr>
                <m:t>R</m:t>
              </m:r>
              <m:r>
                <m:rPr>
                  <m:sty m:val="p"/>
                </m:rPr>
                <m:t>V</m:t>
              </m:r>
            </m:e>
          </m:d>
          <m:r>
            <m:rPr>
              <m:sty m:val="p"/>
            </m:rPr>
            <m:t>+</m:t>
          </m:r>
          <m:sSub>
            <m:e>
              <m:r>
                <m:t>β</m:t>
              </m:r>
            </m:e>
            <m:sub>
              <m:r>
                <m:t>9</m:t>
              </m:r>
            </m:sub>
          </m:sSub>
          <m:r>
            <m:rPr>
              <m:sty m:val="p"/>
            </m:rPr>
            <m:t>M</m:t>
          </m:r>
          <m:r>
            <m:rPr>
              <m:sty m:val="p"/>
            </m:rPr>
            <m:t>g</m:t>
          </m:r>
          <m:r>
            <m:rPr>
              <m:sty m:val="p"/>
            </m:rPr>
            <m:t>r</m:t>
          </m:r>
          <m:r>
            <m:rPr>
              <m:sty m:val="p"/>
            </m:rPr>
            <m:t>E</m:t>
          </m:r>
          <m:r>
            <m:rPr>
              <m:sty m:val="p"/>
            </m:rPr>
            <m:t>x</m:t>
          </m:r>
          <m:r>
            <m:rPr>
              <m:sty m:val="p"/>
            </m:rPr>
            <m:t>p</m:t>
          </m:r>
          <m:r>
            <m:rPr>
              <m:sty m:val="p"/>
            </m:rPr>
            <m:t>+</m:t>
          </m:r>
          <m:sSub>
            <m:e>
              <m:r>
                <m:t>β</m:t>
              </m:r>
            </m:e>
            <m:sub>
              <m:r>
                <m:t>10</m:t>
              </m:r>
            </m:sub>
          </m:sSub>
          <m:r>
            <m:rPr>
              <m:sty m:val="p"/>
            </m:rPr>
            <m:t>M</m:t>
          </m:r>
          <m:r>
            <m:rPr>
              <m:sty m:val="p"/>
            </m:rPr>
            <m:t>g</m:t>
          </m:r>
          <m:r>
            <m:rPr>
              <m:sty m:val="p"/>
            </m:rPr>
            <m:t>r</m:t>
          </m:r>
          <m:r>
            <m:rPr>
              <m:sty m:val="p"/>
            </m:rPr>
            <m:t>F</m:t>
          </m:r>
          <m:r>
            <m:rPr>
              <m:sty m:val="p"/>
            </m:rPr>
            <m:t>e</m:t>
          </m:r>
          <m:r>
            <m:rPr>
              <m:sty m:val="p"/>
            </m:rPr>
            <m:t>m</m:t>
          </m:r>
          <m:r>
            <m:rPr>
              <m:sty m:val="p"/>
            </m:rPr>
            <m:t>+</m:t>
          </m:r>
          <m:r>
            <m:rPr>
              <m:sty m:val="b"/>
            </m:rPr>
            <m:t>γ</m:t>
          </m:r>
          <m:r>
            <m:rPr>
              <m:sty m:val="b"/>
            </m:rPr>
            <m:t>X</m:t>
          </m:r>
          <m:r>
            <m:rPr>
              <m:sty m:val="p"/>
            </m:rPr>
            <m:t>+</m:t>
          </m:r>
          <m:sSub>
            <m:e>
              <m:r>
                <m:t>δ</m:t>
              </m:r>
            </m:e>
            <m:sub>
              <m:r>
                <m:t>c</m:t>
              </m:r>
              <m:r>
                <m:t>t</m:t>
              </m:r>
            </m:sub>
          </m:sSub>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r>
                  <m:rPr>
                    <m:nor/>
                    <m:sty m:val="p"/>
                  </m:rPr>
                  <m:t>Tương tác chế độ-yếu: </m:t>
                </m:r>
                <m:r>
                  <m:rPr>
                    <m:sty m:val="p"/>
                  </m:rPr>
                  <m:t>F</m:t>
                </m:r>
                <m:r>
                  <m:rPr>
                    <m:sty m:val="p"/>
                  </m:rPr>
                  <m:t>S</m:t>
                </m:r>
                <m:r>
                  <m:rPr>
                    <m:sty m:val="p"/>
                  </m:rPr>
                  <m:t>T</m:t>
                </m:r>
                <m:r>
                  <m:rPr>
                    <m:sty m:val="p"/>
                  </m:rPr>
                  <m: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e>
            </m:mr>
            <m:mr>
              <m:e/>
              <m:e>
                <m:r>
                  <m:rPr>
                    <m:nor/>
                    <m:sty m:val="p"/>
                  </m:rPr>
                  <m:t>ba chiều không ý nghĩa; </m:t>
                </m:r>
                <m:r>
                  <m:rPr>
                    <m:sty m:val="p"/>
                  </m:rPr>
                  <m:t>T</m:t>
                </m:r>
                <m:r>
                  <m:rPr>
                    <m:sty m:val="p"/>
                  </m:rP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e>
            </m:mr>
          </m:m>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I, phi tuyến</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DAI_z</w:t>
            </w:r>
          </w:p>
        </w:tc>
        <w:tc>
          <w:tcPr/>
          <w:p>
            <w:pPr>
              <w:pStyle w:val="Compact"/>
              <w:jc w:val="left"/>
            </w:pPr>
            <w:r>
              <w:t xml:space="preserve">c22b/e1, k33</w:t>
            </w:r>
          </w:p>
        </w:tc>
        <w:tc>
          <w:tcPr/>
          <w:p>
            <w:pPr>
              <w:pStyle w:val="Compact"/>
              <w:jc w:val="left"/>
            </w:pPr>
            <w:r>
              <w:t xml:space="preserve">chuẩn hóa z(website + thanh toán điện tử): Bậc 1 và 2</w:t>
            </w:r>
          </w:p>
        </w:tc>
        <w:tc>
          <w:tcPr/>
          <w:p>
            <w:pPr>
              <w:pStyle w:val="Compact"/>
              <w:jc w:val="left"/>
            </w:pPr>
            <w:r>
              <w:t xml:space="preserve">Số hoá (DAI)</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(tiên tiến đổi mới đến SIDS)</w:t>
            </w:r>
          </w:p>
        </w:tc>
        <w:tc>
          <w:tcPr/>
          <w:p>
            <w:pPr>
              <w:pStyle w:val="Compact"/>
              <w:jc w:val="left"/>
            </w:pPr>
            <w:r>
              <w:t xml:space="preserve">Thể chế</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Bậc 1 và 2 khi k33 có mặt, Bậc 1 only khi thiếu, khác với P3 Vietnam (chỉ Bậc 1) và đồng nhất với P4 Singapore (Bậc 1 và 2). ICRV là biến điều tiết liên tục (integer), không phải dummies, nhằm giữ N đủ lớn trong M10–M11.</w:t>
      </w:r>
    </w:p>
    <w:p>
      <w:r>
        <w:pict>
          <v:rect style="width:0;height:1.5pt" o:hralign="center" o:hrstd="t" o:hr="t"/>
        </w:pict>
      </w:r>
    </w:p>
    <w:bookmarkStart w:id="126" w:name="X95586c41a60b4b828f7adafd474d02ef9cccc41"/>
    <w:p>
      <w:pPr>
        <w:pStyle w:val="Heading4"/>
      </w:pPr>
      <w:r>
        <w:t xml:space="preserve">3.4.5.5 Mô hình cụ thể: Nghiên cứu 8: đảo nhỏ Thái Bình Dương (N = 1.450, Nhóm VI)</w:t>
      </w:r>
    </w:p>
    <w:p>
      <w:pPr>
        <w:pStyle w:val="FirstParagraph"/>
      </w:pPr>
      <w:r>
        <w:t xml:space="preserve">Nghiên cứu 8 phân tích mẫu gồm</w:t>
      </w:r>
      <w:r>
        <w:t xml:space="preserve"> </w:t>
      </w:r>
      <w:r>
        <w:rPr>
          <w:bCs/>
          <w:b/>
        </w:rPr>
        <w:t xml:space="preserve">N = 1.450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212 doanh nghiệp có hoạt động xuất khẩu</w:t>
      </w:r>
      <w:r>
        <w:t xml:space="preserve"> </w:t>
      </w:r>
      <w:r>
        <w:t xml:space="preserve">(14,6%),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Tại Nhóm VI, dạng hình chữ U ngược</w:t>
      </w:r>
      <w:r>
        <w:t xml:space="preserve"> </w:t>
      </w:r>
      <w:r>
        <w:rPr>
          <w:bCs/>
          <w:b/>
        </w:rPr>
        <w:t xml:space="preserve">mất cấu trúc</w:t>
      </w:r>
      <w:r>
        <w:t xml:space="preserve">: trên mẫu đầy đủ bảy nền (N = 1.450), cả số hạng tuyến tính lẫn bậc hai đều mất ý nghĩa khi đưa vào đồng thời và cả bốn điều kiện cần của một đường cong chữ U ngược đều thất bại (xem Chương 4, Mục 4.7.2 và 4.7.6), nên quan hệ là</w:t>
      </w:r>
      <w:r>
        <w:t xml:space="preserve"> </w:t>
      </w:r>
      <w:r>
        <w:rPr>
          <w:bCs/>
          <w:b/>
        </w:rPr>
        <w:t xml:space="preserve">đơn điệu âm về xu hướng</w:t>
      </w:r>
      <w:r>
        <w:t xml:space="preserve">, không có điểm quay nội miền, trái ngược với hình chữ U ngược ở P3–P7. Hệ số FIP âm</w:t>
      </w:r>
      <w:r>
        <w:t xml:space="preserve"> </w:t>
      </w:r>
      <w:r>
        <w:rPr>
          <w:bCs/>
          <w:b/>
        </w:rPr>
        <w:t xml:space="preserve">mạnh, có ý nghĩa</w:t>
      </w:r>
      <w:r>
        <w:t xml:space="preserve"> </w:t>
      </w:r>
      <w:r>
        <w:t xml:space="preserve">(</w:t>
      </w:r>
      <m:oMath>
        <m:sSub>
          <m:e>
            <m:r>
              <m:t>β</m:t>
            </m:r>
          </m:e>
          <m:sub>
            <m:r>
              <m:t>1</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ghi nhận trên</w:t>
      </w:r>
      <w:r>
        <w:t xml:space="preserve"> </w:t>
      </w:r>
      <w:r>
        <w:rPr>
          <w:bCs/>
          <w:b/>
        </w:rPr>
        <w:t xml:space="preserve">phiên bản dữ liệu gốc / bản dựng hạn chế</w:t>
      </w:r>
      <w:r>
        <w:t xml:space="preserve"> </w:t>
      </w:r>
      <w:r>
        <w:t xml:space="preserve">(N = 959; lõi ba nền có đủ kiểm soát đợt trước 2018: N = 209) và được trình bày như bằng chứng độ vững nội bộ ở Chương 4 (Mục 4.7.7–4.7.8).</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lnLP</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nội tệ / lao động thường trực)</w:t>
            </w:r>
          </w:p>
        </w:tc>
      </w:tr>
      <w:tr>
        <w:tc>
          <w:tcPr/>
          <w:p>
            <w:pPr>
              <w:pStyle w:val="Compact"/>
              <w:jc w:val="left"/>
            </w:pPr>
            <w:r>
              <w:t xml:space="preserve">FSTS_c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FSTS_c²</w:t>
            </w:r>
          </w:p>
        </w:tc>
        <w:tc>
          <w:tcPr/>
          <w:p>
            <w:pPr>
              <w:pStyle w:val="Compact"/>
              <w:jc w:val="left"/>
            </w:pPr>
            <w:r>
              <w:t xml:space="preserve">FSTS_c bình phương</w:t>
            </w:r>
          </w:p>
        </w:tc>
        <w:tc>
          <w:tcPr/>
          <w:p>
            <w:pPr>
              <w:pStyle w:val="Compact"/>
              <w:jc w:val="left"/>
            </w:pPr>
            <w:r>
              <w:t xml:space="preserve">d3c</w:t>
            </w:r>
          </w:p>
        </w:tc>
        <w:tc>
          <w:tcPr/>
          <w:p>
            <w:pPr>
              <w:pStyle w:val="Compact"/>
              <w:jc w:val="left"/>
            </w:pPr>
            <w:r>
              <w:t xml:space="preserve">FSTS_c × FSTS_c</w:t>
            </w:r>
          </w:p>
        </w:tc>
      </w:tr>
      <w:tr>
        <w:tc>
          <w:tcPr/>
          <w:p>
            <w:pPr>
              <w:pStyle w:val="Compact"/>
              <w:jc w:val="left"/>
            </w:pPr>
            <w:r>
              <w:t xml:space="preserve">TCI_z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chuẩn hóa z(trung bình cert chất lượng + CN nước ngoài)</w:t>
            </w:r>
          </w:p>
        </w:tc>
      </w:tr>
      <w:tr>
        <w:tc>
          <w:tcPr/>
          <w:p>
            <w:pPr>
              <w:pStyle w:val="Compact"/>
              <w:jc w:val="left"/>
            </w:pPr>
            <w:r>
              <w:t xml:space="preserve">DAI_z</w:t>
            </w:r>
          </w:p>
        </w:tc>
        <w:tc>
          <w:tcPr/>
          <w:p>
            <w:pPr>
              <w:pStyle w:val="Compact"/>
              <w:jc w:val="left"/>
            </w:pPr>
            <w:r>
              <w:t xml:space="preserve">Chỉ số số hoá (Bậc 1)</w:t>
            </w:r>
          </w:p>
        </w:tc>
        <w:tc>
          <w:tcPr/>
          <w:p>
            <w:pPr>
              <w:pStyle w:val="Compact"/>
              <w:jc w:val="left"/>
            </w:pPr>
            <w:r>
              <w:t xml:space="preserve">c22b</w:t>
            </w:r>
          </w:p>
        </w:tc>
        <w:tc>
          <w:tcPr/>
          <w:p>
            <w:pPr>
              <w:pStyle w:val="Compact"/>
              <w:jc w:val="left"/>
            </w:pPr>
            <w:r>
              <w:t xml:space="preserve">chuẩn hóa z(website binary):</w:t>
            </w:r>
            <w:r>
              <w:t xml:space="preserve"> </w:t>
            </w:r>
            <w:r>
              <w:rPr>
                <w:bCs/>
                <w:b/>
              </w:rPr>
              <w:t xml:space="preserve">chỉ Bậc 1, không dynamic</w:t>
            </w:r>
          </w:p>
        </w:tc>
      </w:tr>
      <w:tr>
        <w:tc>
          <w:tcPr/>
          <w:p>
            <w:pPr>
              <w:pStyle w:val="Compact"/>
              <w:jc w:val="left"/>
            </w:pPr>
            <w:r>
              <w:t xml:space="preserve">lnL</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Age</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Own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DAI là biến đại diện tĩnh Bậc 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sSub>
            <m:e>
              <m:r>
                <m:rPr>
                  <m:sty m:val="p"/>
                </m:rPr>
                <m:t>A</m:t>
              </m:r>
              <m:r>
                <m:rPr>
                  <m:sty m:val="p"/>
                </m:rPr>
                <m:t>g</m:t>
              </m:r>
              <m:r>
                <m:rPr>
                  <m:sty m:val="p"/>
                </m:rPr>
                <m:t>e</m:t>
              </m:r>
            </m:e>
            <m:sub>
              <m:r>
                <m:t>i</m:t>
              </m:r>
              <m:r>
                <m:t>t</m:t>
              </m:r>
            </m:sub>
          </m:sSub>
          <m:r>
            <m:rPr>
              <m:sty m:val="p"/>
            </m:rPr>
            <m:t>+</m:t>
          </m:r>
          <m:sSub>
            <m:e>
              <m:r>
                <m:t>γ</m:t>
              </m:r>
            </m:e>
            <m:sub>
              <m:r>
                <m:t>3</m:t>
              </m:r>
            </m:sub>
          </m:sSub>
          <m:sSub>
            <m:e>
              <m:r>
                <m:rPr>
                  <m:sty m:val="p"/>
                </m:rPr>
                <m:t>O</m:t>
              </m:r>
              <m:r>
                <m:rPr>
                  <m:sty m:val="p"/>
                </m:rPr>
                <m:t>w</m:t>
              </m:r>
              <m:r>
                <m:rPr>
                  <m:sty m:val="p"/>
                </m:rP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phiên bản dữ liệu gốc, </m:t>
              </m:r>
              <m:r>
                <m:t>N</m:t>
              </m:r>
              <m:r>
                <m:rPr>
                  <m:sty m:val="p"/>
                </m:rPr>
                <m:t>=</m:t>
              </m:r>
              <m:r>
                <m:t>959</m:t>
              </m:r>
            </m:e>
          </m:d>
          <m:r>
            <m:rPr>
              <m:sty m:val="p"/>
            </m:rPr>
            <m:t>⇒</m:t>
          </m:r>
          <m:r>
            <m:rPr>
              <m:nor/>
              <m:sty m:val="b"/>
            </m:rPr>
            <m:t>FIP (bản dựng gốc)</m:t>
          </m:r>
        </m:oMath>
      </m:oMathPara>
    </w:p>
    <w:p>
      <w:pPr>
        <w:pStyle w:val="FirstParagraph"/>
      </w:pPr>
      <w:r>
        <w:t xml:space="preserve">M2, Kiểm định phi tuyến: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e>
            </m:mr>
            <m:mr>
              <m:e/>
              <m:e>
                <m:r>
                  <m:rPr>
                    <m:sty m:val="p"/>
                  </m:rPr>
                  <m:t>⇒</m:t>
                </m:r>
                <m:r>
                  <m:rPr>
                    <m:nor/>
                    <m:sty m:val="p"/>
                  </m:rPr>
                  <m:t>không có điểm quay, đơn điệu âm</m:t>
                </m:r>
              </m:e>
            </m:mr>
          </m:m>
        </m:oMath>
      </m:oMathPara>
    </w:p>
    <w:p>
      <w:pPr>
        <w:pStyle w:val="FirstParagraph"/>
      </w:pPr>
      <w:r>
        <w:t xml:space="preserve">M3, Kiểm định năng lực điều tiết (H2 null cho SIDS):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sSub>
                  <m:e>
                    <m:r>
                      <m:rPr>
                        <m:sty m:val="p"/>
                      </m:rPr>
                      <m:t>T</m:t>
                    </m:r>
                    <m:r>
                      <m:rPr>
                        <m:sty m:val="p"/>
                      </m:rPr>
                      <m:t>C</m:t>
                    </m:r>
                    <m:r>
                      <m:rPr>
                        <m:sty m:val="p"/>
                      </m:rPr>
                      <m:t>I</m:t>
                    </m:r>
                  </m:e>
                  <m:sub>
                    <m:r>
                      <m:t>z</m:t>
                    </m:r>
                    <m:r>
                      <m:rPr>
                        <m:sty m:val="p"/>
                      </m:rPr>
                      <m:t>,</m:t>
                    </m:r>
                    <m:r>
                      <m:t>i</m:t>
                    </m:r>
                    <m:r>
                      <m:t>t</m:t>
                    </m:r>
                  </m:sub>
                </m:sSub>
              </m:e>
            </m:mr>
            <m:mr>
              <m:e/>
              <m:e>
                <m:r>
                  <m:rPr>
                    <m:sty m:val="p"/>
                  </m:rPr>
                  <m:t>+</m:t>
                </m:r>
                <m:sSub>
                  <m:e>
                    <m:r>
                      <m:t>β</m:t>
                    </m:r>
                  </m:e>
                  <m:sub>
                    <m:r>
                      <m:t>4</m:t>
                    </m:r>
                  </m:sub>
                </m:sSub>
                <m:sSub>
                  <m:e>
                    <m:r>
                      <m:rPr>
                        <m:sty m:val="p"/>
                      </m:rPr>
                      <m:t>D</m:t>
                    </m:r>
                    <m:r>
                      <m:rPr>
                        <m:sty m:val="p"/>
                      </m:rPr>
                      <m:t>A</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e>
            </m:mr>
          </m:m>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3</m:t>
                    </m:r>
                  </m:sub>
                </m:sSub>
                <m:r>
                  <m:t> </m:t>
                </m:r>
                <m:d>
                  <m:dPr>
                    <m:begChr m:val="("/>
                    <m:endChr m:val=")"/>
                    <m:sepChr m:val=""/>
                    <m:grow/>
                  </m:dPr>
                  <m:e>
                    <m:sSub>
                      <m:e>
                        <m:r>
                          <m:rPr>
                            <m:sty m:val="p"/>
                          </m:rPr>
                          <m:t>T</m:t>
                        </m:r>
                        <m:r>
                          <m:rPr>
                            <m:sty m:val="p"/>
                          </m:rPr>
                          <m:t>C</m:t>
                        </m:r>
                        <m:r>
                          <m:rPr>
                            <m:sty m:val="p"/>
                          </m:rPr>
                          <m:t>I</m:t>
                        </m:r>
                      </m:e>
                      <m:sub>
                        <m:r>
                          <m:t>z</m:t>
                        </m:r>
                      </m:sub>
                    </m:sSub>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sSub>
                      <m:e>
                        <m:r>
                          <m:rPr>
                            <m:sty m:val="p"/>
                          </m:rPr>
                          <m:t>D</m:t>
                        </m:r>
                        <m:r>
                          <m:rPr>
                            <m:sty m:val="p"/>
                          </m:rPr>
                          <m:t>A</m:t>
                        </m:r>
                        <m:r>
                          <m:rPr>
                            <m:sty m:val="p"/>
                          </m:rPr>
                          <m:t>I</m:t>
                        </m:r>
                      </m:e>
                      <m:sub>
                        <m:r>
                          <m:t>z</m:t>
                        </m:r>
                      </m:sub>
                    </m:sSub>
                  </m:e>
                </m:d>
                <m:r>
                  <m:rPr>
                    <m:sty m:val="p"/>
                  </m:rPr>
                  <m:t>:</m:t>
                </m:r>
                <m:r>
                  <m:t> </m:t>
                </m:r>
                <m:r>
                  <m:t>p</m:t>
                </m:r>
                <m:r>
                  <m:rPr>
                    <m:sty m:val="p"/>
                  </m:rPr>
                  <m:t>=</m:t>
                </m:r>
                <m:r>
                  <m:rPr>
                    <m:sty m:val="p"/>
                  </m:rPr>
                  <m:t>,</m:t>
                </m:r>
                <m:r>
                  <m:t>285</m:t>
                </m:r>
                <m:r>
                  <m:t> </m:t>
                </m:r>
                <m:r>
                  <m:rPr>
                    <m:nor/>
                    <m:sty m:val="p"/>
                  </m:rPr>
                  <m:t>NS</m:t>
                </m:r>
              </m:e>
            </m:mr>
            <m:mr>
              <m:e/>
              <m:e>
                <m:r>
                  <m:rPr>
                    <m:sty m:val="p"/>
                  </m:rPr>
                  <m:t>⇒</m:t>
                </m:r>
                <m:r>
                  <m:rPr>
                    <m:nor/>
                    <m:sty m:val="p"/>
                  </m:rPr>
                  <m:t>TCI nâng mặt bằng năng suất; không có biến điều tiết uốn đường cong (H2 null)</m:t>
                </m:r>
              </m:e>
            </m:mr>
          </m:m>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Mô hình</w:t>
            </w:r>
          </w:p>
        </w:tc>
        <w:tc>
          <w:tcPr/>
          <w:p>
            <w:pPr>
              <w:pStyle w:val="Compact"/>
              <w:jc w:val="left"/>
            </w:pPr>
            <m:oMath>
              <m:r>
                <m:t>β</m:t>
              </m:r>
              <m:d>
                <m:dPr>
                  <m:begChr m:val="("/>
                  <m:endChr m:val=")"/>
                  <m:sepChr m:val=""/>
                  <m:grow/>
                </m:dPr>
                <m:e>
                  <m:sSub>
                    <m:e>
                      <m:r>
                        <m:rPr>
                          <m:sty m:val="p"/>
                        </m:rPr>
                        <m:t>F</m:t>
                      </m:r>
                      <m:r>
                        <m:rPr>
                          <m:sty m:val="p"/>
                        </m:rPr>
                        <m:t>S</m:t>
                      </m:r>
                      <m:r>
                        <m:rPr>
                          <m:sty m:val="p"/>
                        </m:rPr>
                        <m:t>T</m:t>
                      </m:r>
                      <m:r>
                        <m:rPr>
                          <m:sty m:val="p"/>
                        </m:rPr>
                        <m:t>S</m:t>
                      </m:r>
                    </m:e>
                    <m:sub>
                      <m:r>
                        <m:t>c</m:t>
                      </m:r>
                    </m:sub>
                  </m:sSub>
                </m:e>
              </m:d>
            </m:oMath>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m:oMath>
              <m:r>
                <m:rPr>
                  <m:sty m:val="p"/>
                </m:rPr>
                <m:t>−</m:t>
              </m:r>
              <m:r>
                <m:t>1</m:t>
              </m:r>
              <m:r>
                <m:rPr>
                  <m:sty m:val="p"/>
                </m:rPr>
                <m:t>,</m:t>
              </m:r>
              <m:r>
                <m:t>339</m:t>
              </m:r>
            </m:oMath>
          </w:p>
        </w:tc>
        <w:tc>
          <w:tcPr/>
          <w:p>
            <w:pPr>
              <w:pStyle w:val="Compact"/>
              <w:jc w:val="left"/>
            </w:pPr>
            <w:r>
              <w:t xml:space="preserve">0,386</w:t>
            </w:r>
          </w:p>
        </w:tc>
        <w:tc>
          <w:tcPr/>
          <w:p>
            <w:pPr>
              <w:pStyle w:val="Compact"/>
              <w:jc w:val="left"/>
            </w:pPr>
            <w:r>
              <w:t xml:space="preserve">&lt;,001</w:t>
            </w:r>
          </w:p>
        </w:tc>
      </w:tr>
      <w:tr>
        <w:tc>
          <w:tcPr/>
          <w:p>
            <w:pPr>
              <w:pStyle w:val="Compact"/>
              <w:jc w:val="left"/>
            </w:pPr>
            <w:r>
              <w:t xml:space="preserve">Year FE only (không country FE)</w:t>
            </w:r>
          </w:p>
        </w:tc>
        <w:tc>
          <w:tcPr/>
          <w:p>
            <w:pPr>
              <w:pStyle w:val="Compact"/>
              <w:jc w:val="left"/>
            </w:pPr>
            <m:oMath>
              <m:r>
                <m:rPr>
                  <m:sty m:val="p"/>
                </m:rPr>
                <m:t>−</m:t>
              </m:r>
              <m:r>
                <m:t>3</m:t>
              </m:r>
              <m:r>
                <m:rPr>
                  <m:sty m:val="p"/>
                </m:rPr>
                <m:t>,</m:t>
              </m:r>
              <m:r>
                <m:t>351</m:t>
              </m:r>
            </m:oMath>
          </w:p>
        </w:tc>
        <w:tc>
          <w:tcPr/>
          <w:p>
            <w:pPr>
              <w:pStyle w:val="Compact"/>
              <w:jc w:val="left"/>
            </w:pPr>
            <w:r>
              <w:t xml:space="preserve">0,808</w:t>
            </w:r>
          </w:p>
        </w:tc>
        <w:tc>
          <w:tcPr/>
          <w:p>
            <w:pPr>
              <w:pStyle w:val="Compact"/>
              <w:jc w:val="left"/>
            </w:pPr>
            <w:r>
              <w:t xml:space="preserve">&lt;,001</w:t>
            </w:r>
          </w:p>
        </w:tc>
      </w:tr>
      <w:tr>
        <w:tc>
          <w:tcPr/>
          <w:p>
            <w:pPr>
              <w:pStyle w:val="Compact"/>
              <w:jc w:val="left"/>
            </w:pPr>
            <w:r>
              <w:t xml:space="preserve">Bivariate (không controls)</w:t>
            </w:r>
          </w:p>
        </w:tc>
        <w:tc>
          <w:tcPr/>
          <w:p>
            <w:pPr>
              <w:pStyle w:val="Compact"/>
              <w:jc w:val="left"/>
            </w:pPr>
            <m:oMath>
              <m:r>
                <m:rPr>
                  <m:sty m:val="p"/>
                </m:rPr>
                <m:t>−</m:t>
              </m:r>
              <m:r>
                <m:t>0</m:t>
              </m:r>
              <m:r>
                <m:rPr>
                  <m:sty m:val="p"/>
                </m:rPr>
                <m:t>,</m:t>
              </m:r>
              <m:r>
                <m:t>864</m:t>
              </m:r>
            </m:oMath>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m:oMath>
              <m:r>
                <m:rPr>
                  <m:sty m:val="p"/>
                </m:rPr>
                <m:t>−</m:t>
              </m:r>
              <m:r>
                <m:t>1</m:t>
              </m:r>
              <m:r>
                <m:rPr>
                  <m:sty m:val="p"/>
                </m:rPr>
                <m:t>,</m:t>
              </m:r>
              <m:r>
                <m:t>176</m:t>
              </m:r>
            </m:oMath>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Bảng độ vững trên thuộc</w:t>
      </w:r>
      <w:r>
        <w:rPr>
          <w:iCs/>
          <w:i/>
        </w:rPr>
        <w:t xml:space="preserve"> </w:t>
      </w:r>
      <w:r>
        <w:rPr>
          <w:bCs/>
          <w:b/>
          <w:iCs/>
          <w:i/>
        </w:rPr>
        <w:t xml:space="preserve">phiên bản dữ liệu gốc</w:t>
      </w:r>
      <w:r>
        <w:rPr>
          <w:iCs/>
          <w:i/>
        </w:rPr>
        <w:t xml:space="preserve"> </w:t>
      </w:r>
      <w:r>
        <w:rPr>
          <w:iCs/>
          <w:i/>
        </w:rPr>
        <w:t xml:space="preserve">(N = 959); hệ số âm nhất quán về dấu qua các mô hình, suy luận FIP dựa chủ yếu vào các mô hình hiệu ứng cố định (M1, year-FE), trong khi chỉ doanh nghiệp xuất khẩu (N = 26) thiếu công suất thống kê. Trên mẫu đầy đủ bảy nền (N = 1.450), dạng đơn điệu âm vẫn là xu hướng nhưng các số hạng mất ý nghĩa thống kê khi đưa vào đồng thời (Chương 4, Mục 4.7.2).</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ln(doanh thu nội tệ / lao động)</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I, kiểm định phi tuyến</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z(cert + CN nước ngoài)</w:t>
            </w:r>
          </w:p>
        </w:tc>
        <w:tc>
          <w:tcPr/>
          <w:p>
            <w:pPr>
              <w:pStyle w:val="Compact"/>
              <w:jc w:val="left"/>
            </w:pPr>
            <w:r>
              <w:t xml:space="preserve">Năng lực công nghệ</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chuẩn hóa z(website binary): Bậc 1 only</w:t>
            </w:r>
          </w:p>
        </w:tc>
        <w:tc>
          <w:tcPr/>
          <w:p>
            <w:pPr>
              <w:pStyle w:val="Compact"/>
              <w:jc w:val="left"/>
            </w:pPr>
            <w:r>
              <w:t xml:space="preserve">Số hoá, biến đại diện tĩnh</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bCs/>
          <w:b/>
        </w:rPr>
        <w:t xml:space="preserve">Cảnh báo công suất thống kê và phạm vi suy luận.</w:t>
      </w:r>
      <w:r>
        <w:t xml:space="preserve"> </w:t>
      </w:r>
      <w:r>
        <w:t xml:space="preserve">Mẫu Nghiên cứu 8 nhỏ và phân tán cao:</w:t>
      </w:r>
      <w:r>
        <w:t xml:space="preserve"> </w:t>
      </w:r>
      <m:oMath>
        <m:r>
          <m:t>N</m:t>
        </m:r>
        <m:r>
          <m:rPr>
            <m:sty m:val="p"/>
          </m:rPr>
          <m:t>=</m:t>
        </m:r>
        <m:r>
          <m:t>1.450</m:t>
        </m:r>
      </m:oMath>
      <w:r>
        <w:t xml:space="preserve"> </w:t>
      </w:r>
      <w:r>
        <w:t xml:space="preserve">trải trên 7 nền kinh tế phân cụm, trong đó chỉ 212 doanh nghiệp có hoạt động xuất khẩu (14,6%) và độ phân tán năng suất là cao nhất toàn mẫu gộp (độ lệch chuẩn ln(LP) ≈ 1,40; tỷ số P90/P10 ≈ 27 lần). Với cỡ mẫu xuất khẩu hữu hiệu nhỏ như vậy, công suất thống kê để phát hiện một độ cong bậc hai ở mức ý nghĩa thông thường ước tính</w:t>
      </w:r>
      <w:r>
        <w:t xml:space="preserve"> </w:t>
      </w:r>
      <w:r>
        <w:rPr>
          <w:bCs/>
          <w:b/>
        </w:rPr>
        <w:t xml:space="preserve">dưới 20%</w:t>
      </w:r>
      <w:r>
        <w:t xml:space="preserve">, nên việc các số hạng FSTS và FSTS² mất ý nghĩa khi đưa vào đồng thời cần được đọc là</w:t>
      </w:r>
      <w:r>
        <w:t xml:space="preserve"> </w:t>
      </w:r>
      <w:r>
        <w:rPr>
          <w:bCs/>
          <w:b/>
        </w:rPr>
        <w:t xml:space="preserve">thiếu công suất</w:t>
      </w:r>
      <w:r>
        <w:t xml:space="preserve">, không phải bằng chứng khẳng định không có quan hệ. Do đó FIP được định vị là phát hiện</w:t>
      </w:r>
      <w:r>
        <w:t xml:space="preserve"> </w:t>
      </w:r>
      <w:r>
        <w:rPr>
          <w:bCs/>
          <w:b/>
        </w:rPr>
        <w:t xml:space="preserve">sinh giả thuyết (hypothesis-generating)</w:t>
      </w:r>
      <w:r>
        <w:t xml:space="preserve"> </w:t>
      </w:r>
      <w:r>
        <w:t xml:space="preserve">hơn là</w:t>
      </w:r>
      <w:r>
        <w:t xml:space="preserve"> </w:t>
      </w:r>
      <w:r>
        <w:rPr>
          <w:bCs/>
          <w:b/>
        </w:rPr>
        <w:t xml:space="preserve">khẳng định giả thuyết</w:t>
      </w:r>
      <w:r>
        <w:t xml:space="preserve">, và hệ số âm</w:t>
      </w:r>
      <w:r>
        <w:t xml:space="preserve"> </w:t>
      </w:r>
      <m:oMath>
        <m:sSub>
          <m:e>
            <m:r>
              <m:t>β</m:t>
            </m:r>
          </m:e>
          <m:sub>
            <m:r>
              <m:t>1</m:t>
            </m:r>
          </m:sub>
        </m:sSub>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được hiểu là nhạy với cách dựng dữ liệu (chỉ vững trên bản dựng gốc N = 959, không trên mẫu đầy đủ bảy nền). Cách đọc thận trọng này được nhắc lại ở phần mở đầu kết quả P8 (Chương 4, Mục 4.7).</w:t>
      </w:r>
    </w:p>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Bậc 1 only, WBES không thu thập thang đo đầy đủ cho số hoá động tại SIDS.</w:t>
      </w:r>
    </w:p>
    <w:p>
      <w:r>
        <w:pict>
          <v:rect style="width:0;height:1.5pt" o:hralign="center" o:hrstd="t" o:hr="t"/>
        </w:pict>
      </w:r>
    </w:p>
    <w:bookmarkEnd w:id="126"/>
    <w:bookmarkStart w:id="127"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mẫu gộp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mô hình gộp ba đợt với biến giả/xu thế đợt khảo sát làm kiểm định độ vững. Việc UPI ra mắt tháng 4/2016 cung cấp thí nghiệm gần tự nhiên cho bão hòa DAI; riêng đợt 2025 (BREADY) bổ sung chỉ báo Bậc 2 (</w:t>
      </w:r>
      <w:r>
        <w:rPr>
          <w:rStyle w:val="VerbatimChar"/>
        </w:rPr>
        <w:t xml:space="preserve">k33</w:t>
      </w:r>
      <w:r>
        <w:t xml:space="preserve">, tỷ trọng doanh thu qua thanh toán điện tử) cho phép kiểm định điều tiết DAI Bậc 2, được xử lý như phân tích thăm dò vì chỉ có ở một đợt.</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ln(doanh thu nội tệ / lao động thường trực)</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(d3c/100) − mean_wave(FSTS): centred theo đợt</w:t>
            </w:r>
          </w:p>
        </w:tc>
        <w:tc>
          <w:tcPr/>
          <w:p>
            <w:pPr>
              <w:pStyle w:val="Compact"/>
              <w:jc w:val="left"/>
            </w:pPr>
            <w:r>
              <w:t xml:space="preserve">Biến độc lập (I)</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I, phi tuyến</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DAI_z</w:t>
            </w:r>
          </w:p>
        </w:tc>
        <w:tc>
          <w:tcPr/>
          <w:p>
            <w:pPr>
              <w:pStyle w:val="Compact"/>
              <w:jc w:val="left"/>
            </w:pPr>
            <w:r>
              <w:t xml:space="preserve">c22b (mọi đợt); k33 (2025)</w:t>
            </w:r>
          </w:p>
        </w:tc>
        <w:tc>
          <w:tcPr/>
          <w:p>
            <w:pPr>
              <w:pStyle w:val="Compact"/>
              <w:jc w:val="left"/>
            </w:pPr>
            <w:r>
              <w:t xml:space="preserve">chuẩn hóa z(website Bậc 1; + thanh toán điện tử Bậc 2)</w:t>
            </w:r>
          </w:p>
        </w:tc>
        <w:tc>
          <w:tcPr/>
          <w:p>
            <w:pPr>
              <w:pStyle w:val="Compact"/>
              <w:jc w:val="left"/>
            </w:pPr>
            <w:r>
              <w:t xml:space="preserve">Số hoá</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Wave</w:t>
            </w:r>
          </w:p>
        </w:tc>
        <w:tc>
          <w:tcPr/>
          <w:p>
            <w:pPr>
              <w:pStyle w:val="Compact"/>
              <w:jc w:val="left"/>
            </w:pPr>
            <w:r>
              <w:t xml:space="preserve">đợt</w:t>
            </w:r>
          </w:p>
        </w:tc>
        <w:tc>
          <w:tcPr/>
          <w:p>
            <w:pPr>
              <w:pStyle w:val="Compact"/>
              <w:jc w:val="left"/>
            </w:pPr>
            <w:r>
              <w:t xml:space="preserve">biến giả/xu thế đợt khảo sát</w:t>
            </w:r>
          </w:p>
        </w:tc>
        <w:tc>
          <w:tcPr/>
          <w:p>
            <w:pPr>
              <w:pStyle w:val="Compact"/>
              <w:jc w:val="left"/>
            </w:pPr>
            <w:r>
              <w:t xml:space="preserve">thời gian (mô hình gộp)</w:t>
            </w:r>
          </w:p>
        </w:tc>
      </w:tr>
    </w:tbl>
    <w:p>
      <w:pPr>
        <w:pStyle w:val="BodyText"/>
      </w:pPr>
      <w:r>
        <w:rPr>
          <w:bCs/>
          <w:b/>
        </w:rPr>
        <w:t xml:space="preserve">Chuỗi mô hình theo từng đợt M0–M3 (P9):</w:t>
      </w:r>
    </w:p>
    <w:p>
      <w:pPr>
        <w:pStyle w:val="BodyText"/>
      </w:pPr>
      <w:r>
        <w:t xml:space="preserve">M0 (cơ sở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sub>
          </m:sSub>
          <m:r>
            <m:rPr>
              <m:sty m:val="p"/>
            </m:rPr>
            <m:t>+</m:t>
          </m:r>
          <m:sSub>
            <m:e>
              <m:r>
                <m:t>γ</m:t>
              </m:r>
            </m:e>
            <m:sub>
              <m:r>
                <m:t>2</m:t>
              </m:r>
            </m:sub>
          </m:sSub>
          <m:sSub>
            <m:e>
              <m:r>
                <m:rPr>
                  <m:sty m:val="p"/>
                </m:rPr>
                <m:t>A</m:t>
              </m:r>
              <m:r>
                <m:rPr>
                  <m:sty m:val="p"/>
                </m:rPr>
                <m:t>g</m:t>
              </m:r>
              <m:r>
                <m:rPr>
                  <m:sty m:val="p"/>
                </m:rPr>
                <m:t>e</m:t>
              </m:r>
            </m:e>
            <m:sub>
              <m:r>
                <m:t>i</m:t>
              </m:r>
            </m:sub>
          </m:sSub>
          <m:r>
            <m:rPr>
              <m:sty m:val="p"/>
            </m:rPr>
            <m:t>+</m:t>
          </m:r>
          <m:sSub>
            <m:e>
              <m:r>
                <m:t>γ</m:t>
              </m:r>
            </m:e>
            <m:sub>
              <m:r>
                <m:t>3</m:t>
              </m:r>
            </m:sub>
          </m:sSub>
          <m:sSub>
            <m:e>
              <m:r>
                <m:rPr>
                  <m:sty m:val="p"/>
                </m:rPr>
                <m:t>O</m:t>
              </m:r>
              <m:r>
                <m:rPr>
                  <m:sty m:val="p"/>
                </m:rPr>
                <m:t>w</m:t>
              </m:r>
              <m:r>
                <m:rPr>
                  <m:sty m:val="p"/>
                </m:rPr>
                <m:t>n</m:t>
              </m:r>
            </m:e>
            <m:sub>
              <m:r>
                <m:t>i</m:t>
              </m:r>
            </m:sub>
          </m:sSub>
          <m:r>
            <m:rPr>
              <m:sty m:val="p"/>
            </m:rPr>
            <m:t>+</m:t>
          </m:r>
          <m:sSub>
            <m:e>
              <m:r>
                <m:t>ε</m:t>
              </m:r>
            </m:e>
            <m:sub>
              <m:r>
                <m:t>i</m:t>
              </m:r>
            </m:sub>
          </m:sSub>
        </m:oMath>
      </m:oMathPara>
    </w:p>
    <w:p>
      <w:pPr>
        <w:pStyle w:val="FirstParagraph"/>
      </w:pPr>
      <w:r>
        <w:t xml:space="preserve">M1 (tuyến tính): thêm cường độ xuất khẩu</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M2 (phi tuyến, kiểm định H1 theo từng đợt):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sSub>
            <m:e>
              <m:r>
                <m:rPr>
                  <m:sty m:val="p"/>
                </m:rPr>
                <m:t>T</m:t>
              </m:r>
              <m:r>
                <m:rPr>
                  <m:sty m:val="p"/>
                </m:rPr>
                <m:t>P</m:t>
              </m:r>
            </m:e>
            <m:sub>
              <m:r>
                <m:t>2014</m:t>
              </m:r>
            </m:sub>
          </m:sSub>
          <m:r>
            <m:rPr>
              <m:sty m:val="p"/>
            </m:rPr>
            <m:t>=</m:t>
          </m:r>
          <m:r>
            <m:t>61</m:t>
          </m:r>
          <m:r>
            <m:rPr>
              <m:sty m:val="p"/>
            </m:rPr>
            <m:t>,</m:t>
          </m:r>
          <m:r>
            <m:t>8</m:t>
          </m:r>
          <m:r>
            <m:rPr>
              <m:sty m:val="p"/>
            </m:rPr>
            <m:t>%</m:t>
          </m:r>
          <m:r>
            <m:rPr>
              <m:sty m:val="p"/>
            </m:rPr>
            <m:t>,</m:t>
          </m:r>
          <m:r>
            <m:t> </m:t>
          </m:r>
          <m:sSub>
            <m:e>
              <m:r>
                <m:rPr>
                  <m:sty m:val="p"/>
                </m:rPr>
                <m:t>T</m:t>
              </m:r>
              <m:r>
                <m:rPr>
                  <m:sty m:val="p"/>
                </m:rPr>
                <m:t>P</m:t>
              </m:r>
            </m:e>
            <m:sub>
              <m:r>
                <m:t>2022</m:t>
              </m:r>
            </m:sub>
          </m:sSub>
          <m:r>
            <m:rPr>
              <m:sty m:val="p"/>
            </m:rPr>
            <m:t>=</m:t>
          </m:r>
          <m:r>
            <m:t>40</m:t>
          </m:r>
          <m:r>
            <m:rPr>
              <m:sty m:val="p"/>
            </m:rPr>
            <m:t>,</m:t>
          </m:r>
          <m:r>
            <m:t>7</m:t>
          </m:r>
          <m:r>
            <m:rPr>
              <m:sty m:val="p"/>
            </m:rPr>
            <m:t>%</m:t>
          </m:r>
          <m:r>
            <m:rPr>
              <m:sty m:val="p"/>
            </m:rPr>
            <m:t>,</m:t>
          </m:r>
          <m:r>
            <m:t> </m:t>
          </m:r>
          <m:r>
            <m:rPr>
              <m:nor/>
              <m:sty m:val="p"/>
            </m:rPr>
            <m:t>tan biến </m:t>
          </m:r>
          <m:r>
            <m:t>2025</m:t>
          </m:r>
          <m:r>
            <m:t> </m:t>
          </m:r>
          <m:d>
            <m:dPr>
              <m:begChr m:val="("/>
              <m:endChr m:val=")"/>
              <m:sepChr m:val=""/>
              <m:grow/>
            </m:dPr>
            <m:e>
              <m:sSub>
                <m:e>
                  <m:r>
                    <m:t>β</m:t>
                  </m:r>
                </m:e>
                <m:sub>
                  <m:r>
                    <m:t>2</m:t>
                  </m:r>
                </m:sub>
              </m:sSub>
              <m:r>
                <m:t> </m:t>
              </m:r>
              <m:r>
                <m:rPr>
                  <m:nor/>
                  <m:sty m:val="p"/>
                </m:rPr>
                <m:t>NS</m:t>
              </m:r>
            </m:e>
          </m:d>
        </m:oMath>
      </m:oMathPara>
    </w:p>
    <w:p>
      <w:pPr>
        <w:pStyle w:val="FirstParagraph"/>
      </w:pPr>
      <w:r>
        <w:t xml:space="preserve">M3 (điều tiết năng lực, kiểm định H2–H3): thêm TCI, DAI và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w:r>
        <w:rPr>
          <w:bCs/>
          <w:b/>
        </w:rPr>
        <w:t xml:space="preserve">Kiểm định ổn định ngưỡng xuyên đợt (Paternoster z-test):</w:t>
      </w:r>
      <w:r>
        <w:t xml:space="preserve"> </w:t>
      </w:r>
      <w:r>
        <w:t xml:space="preserve">so sánh cặp hệ số</w:t>
      </w:r>
      <w:r>
        <w:t xml:space="preserve"> </w:t>
      </w:r>
      <m:oMath>
        <m:d>
          <m:dPr>
            <m:begChr m:val="("/>
            <m:endChr m:val=")"/>
            <m:sepChr m:val=""/>
            <m:grow/>
          </m:dPr>
          <m:e>
            <m:sSub>
              <m:e>
                <m:r>
                  <m:t>β</m:t>
                </m:r>
              </m:e>
              <m:sub>
                <m:r>
                  <m:t>1</m:t>
                </m:r>
              </m:sub>
            </m:sSub>
            <m:r>
              <m:rPr>
                <m:sty m:val="p"/>
              </m:rPr>
              <m:t>,</m:t>
            </m:r>
            <m:sSub>
              <m:e>
                <m:r>
                  <m:t>β</m:t>
                </m:r>
              </m:e>
              <m:sub>
                <m:r>
                  <m:t>2</m:t>
                </m:r>
              </m:sub>
            </m:sSub>
          </m:e>
        </m:d>
      </m:oMath>
      <w:r>
        <w:t xml:space="preserve"> </w:t>
      </w:r>
      <w:r>
        <w:t xml:space="preserve">giữa đợt 2014 (tiền-UPI) và đợt 2025 (UPI bão hòa) qua cửa sổ 11 năm chính:</w:t>
      </w:r>
    </w:p>
    <w:p>
      <w:pPr>
        <w:pStyle w:val="BodyText"/>
      </w:pPr>
      <m:oMathPara>
        <m:oMathParaPr>
          <m:jc m:val="center"/>
        </m:oMathParaPr>
        <m:oMath>
          <m:r>
            <m:t>z</m:t>
          </m:r>
          <m:r>
            <m:rPr>
              <m:sty m:val="p"/>
            </m:rPr>
            <m:t>=</m:t>
          </m:r>
          <m:f>
            <m:fPr>
              <m:type m:val="bar"/>
            </m:fPr>
            <m:num>
              <m:sSup>
                <m:e>
                  <m:acc>
                    <m:accPr>
                      <m:chr m:val="̂"/>
                    </m:accPr>
                    <m:e>
                      <m:r>
                        <m:t>β</m:t>
                      </m:r>
                    </m:e>
                  </m:acc>
                </m:e>
                <m:sup>
                  <m:d>
                    <m:dPr>
                      <m:begChr m:val="("/>
                      <m:endChr m:val=")"/>
                      <m:sepChr m:val=""/>
                      <m:grow/>
                    </m:dPr>
                    <m:e>
                      <m:r>
                        <m:t>2025</m:t>
                      </m:r>
                    </m:e>
                  </m:d>
                </m:sup>
              </m:sSup>
              <m:r>
                <m:rPr>
                  <m:sty m:val="p"/>
                </m:rPr>
                <m:t>−</m:t>
              </m:r>
              <m:sSup>
                <m:e>
                  <m:acc>
                    <m:accPr>
                      <m:chr m:val="̂"/>
                    </m:accPr>
                    <m:e>
                      <m:r>
                        <m:t>β</m:t>
                      </m:r>
                    </m:e>
                  </m:acc>
                </m:e>
                <m:sup>
                  <m:d>
                    <m:dPr>
                      <m:begChr m:val="("/>
                      <m:endChr m:val=")"/>
                      <m:sepChr m:val=""/>
                      <m:grow/>
                    </m:dPr>
                    <m:e>
                      <m:r>
                        <m:t>2014</m:t>
                      </m:r>
                    </m:e>
                  </m:d>
                </m:sup>
              </m:sSup>
            </m:num>
            <m:den>
              <m:rad>
                <m:radPr>
                  <m:degHide m:val="on"/>
                </m:radPr>
                <m:deg/>
                <m:e>
                  <m:r>
                    <m:rPr>
                      <m:sty m:val="p"/>
                    </m:rPr>
                    <m:t>S</m:t>
                  </m:r>
                  <m:r>
                    <m:rPr>
                      <m:sty m:val="p"/>
                    </m:rPr>
                    <m:t>E</m:t>
                  </m:r>
                  <m:sSup>
                    <m:e>
                      <m:d>
                        <m:dPr>
                          <m:begChr m:val="("/>
                          <m:endChr m:val=")"/>
                          <m:sepChr m:val=""/>
                          <m:grow/>
                        </m:dPr>
                        <m:e>
                          <m:sSup>
                            <m:e>
                              <m:acc>
                                <m:accPr>
                                  <m:chr m:val="̂"/>
                                </m:accPr>
                                <m:e>
                                  <m:r>
                                    <m:t>β</m:t>
                                  </m:r>
                                </m:e>
                              </m:acc>
                            </m:e>
                            <m:sup>
                              <m:d>
                                <m:dPr>
                                  <m:begChr m:val="("/>
                                  <m:endChr m:val=")"/>
                                  <m:sepChr m:val=""/>
                                  <m:grow/>
                                </m:dPr>
                                <m:e>
                                  <m:r>
                                    <m:t>2025</m:t>
                                  </m:r>
                                </m:e>
                              </m:d>
                            </m:sup>
                          </m:sSup>
                        </m:e>
                      </m:d>
                    </m:e>
                    <m:sup>
                      <m:r>
                        <m:t>2</m:t>
                      </m:r>
                    </m:sup>
                  </m:sSup>
                  <m:r>
                    <m:rPr>
                      <m:sty m:val="p"/>
                    </m:rPr>
                    <m:t>+</m:t>
                  </m:r>
                  <m:r>
                    <m:rPr>
                      <m:sty m:val="p"/>
                    </m:rPr>
                    <m:t>S</m:t>
                  </m:r>
                  <m:r>
                    <m:rPr>
                      <m:sty m:val="p"/>
                    </m:rPr>
                    <m:t>E</m:t>
                  </m:r>
                  <m:sSup>
                    <m:e>
                      <m:d>
                        <m:dPr>
                          <m:begChr m:val="("/>
                          <m:endChr m:val=")"/>
                          <m:sepChr m:val=""/>
                          <m:grow/>
                        </m:dPr>
                        <m:e>
                          <m:sSup>
                            <m:e>
                              <m:acc>
                                <m:accPr>
                                  <m:chr m:val="̂"/>
                                </m:accPr>
                                <m:e>
                                  <m:r>
                                    <m:t>β</m:t>
                                  </m:r>
                                </m:e>
                              </m:acc>
                            </m:e>
                            <m:sup>
                              <m:d>
                                <m:dPr>
                                  <m:begChr m:val="("/>
                                  <m:endChr m:val=")"/>
                                  <m:sepChr m:val=""/>
                                  <m:grow/>
                                </m:dPr>
                                <m:e>
                                  <m:r>
                                    <m:t>2014</m:t>
                                  </m:r>
                                </m:e>
                              </m:d>
                            </m:sup>
                          </m:sSup>
                        </m:e>
                      </m:d>
                    </m:e>
                    <m:sup>
                      <m:r>
                        <m:t>2</m:t>
                      </m:r>
                    </m:sup>
                  </m:sSup>
                </m:e>
              </m:rad>
            </m:den>
          </m:f>
        </m:oMath>
      </m:oMathPara>
    </w:p>
    <w:p>
      <w:pPr>
        <w:pStyle w:val="FirstParagraph"/>
      </w:pPr>
      <m:oMathPara>
        <m:oMathParaPr>
          <m:jc m:val="center"/>
        </m:oMathParaP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r>
            <m:rPr>
              <m:sty m:val="p"/>
            </m:rPr>
            <m:t>,</m:t>
          </m:r>
          <m:r>
            <m:t> </m:t>
          </m:r>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r>
            <m:t> </m:t>
          </m:r>
          <m:d>
            <m:dPr>
              <m:begChr m:val="("/>
              <m:endChr m:val=")"/>
              <m:sepChr m:val=""/>
              <m:grow/>
            </m:dPr>
            <m:e>
              <m:r>
                <m:rPr>
                  <m:nor/>
                  <m:sty m:val="p"/>
                </m:rPr>
                <m:t>HC1, </m:t>
              </m:r>
              <m:r>
                <m:t>p</m:t>
              </m:r>
              <m:r>
                <m:rPr>
                  <m:sty m:val="p"/>
                </m:rPr>
                <m:t>&lt;</m:t>
              </m:r>
              <m:r>
                <m:rPr>
                  <m:sty m:val="p"/>
                </m:rPr>
                <m:t>,</m:t>
              </m:r>
              <m:r>
                <m:t>0001</m:t>
              </m:r>
            </m:e>
          </m:d>
          <m:r>
            <m:rPr>
              <m:sty m:val="p"/>
            </m:rPr>
            <m:t>;</m:t>
          </m:r>
          <m:r>
            <m:t> </m:t>
          </m:r>
          <m:r>
            <m:rPr>
              <m:nor/>
              <m:sty m:val="p"/>
            </m:rPr>
            <m:t>cụm theo bang: </m:t>
          </m:r>
          <m:r>
            <m:t>z</m:t>
          </m:r>
          <m:r>
            <m:rPr>
              <m:sty m:val="p"/>
            </m:rPr>
            <m:t>=</m:t>
          </m:r>
          <m:r>
            <m:rPr>
              <m:sty m:val="p"/>
            </m:rPr>
            <m:t>−</m:t>
          </m:r>
          <m:r>
            <m:t>3</m:t>
          </m:r>
          <m:r>
            <m:rPr>
              <m:sty m:val="p"/>
            </m:rPr>
            <m:t>,</m:t>
          </m:r>
          <m:r>
            <m:t>50</m:t>
          </m:r>
          <m:r>
            <m:rPr>
              <m:sty m:val="p"/>
            </m:rPr>
            <m:t>/</m:t>
          </m:r>
          <m:r>
            <m:rPr>
              <m:sty m:val="p"/>
            </m:rPr>
            <m:t>+</m:t>
          </m:r>
          <m:r>
            <m:t>2</m:t>
          </m:r>
          <m:r>
            <m:rPr>
              <m:sty m:val="p"/>
            </m:rPr>
            <m:t>,</m:t>
          </m:r>
          <m:r>
            <m:t>19</m:t>
          </m:r>
        </m:oMath>
      </m:oMathPara>
    </w:p>
    <w:p>
      <w:pPr>
        <w:pStyle w:val="FirstParagraph"/>
      </w:pPr>
      <w:r>
        <w:rPr>
          <w:iCs/>
          <w:i/>
        </w:rPr>
        <w:t xml:space="preserve">Ghi chú: Sai số chuẩn HC1 (lát cắt ngang theo đợt); riêng kiểm định Paternoster báo cáo song song cả HC1 và cụm theo bang để kiểm tra độ vững suy luận. DAI là Bậc 1 (website) ở mọi đợt và bổ sung Bậc 2 (</w:t>
      </w:r>
      <w:r>
        <w:rPr>
          <w:rStyle w:val="VerbatimChar"/>
          <w:iCs/>
          <w:i/>
        </w:rPr>
        <w:t xml:space="preserve">k33</w:t>
      </w:r>
      <w:r>
        <w:rPr>
          <w:iCs/>
          <w:i/>
        </w:rPr>
        <w:t xml:space="preserve">) chỉ ở 2025 (BREADY), nên điều tiết DAI Bậc 2 là phân tích thăm dò. Mẫu gộp ba đợt</w:t>
      </w:r>
      <w:r>
        <w:rPr>
          <w:iCs/>
          <w:i/>
        </w:rPr>
        <w:t xml:space="preserve"> </w:t>
      </w:r>
      <m:oMath>
        <m:r>
          <m:t>N</m:t>
        </m:r>
        <m:r>
          <m:rPr>
            <m:sty m:val="p"/>
          </m:rPr>
          <m:t>=</m:t>
        </m:r>
        <m:r>
          <m:t>28.717</m:t>
        </m:r>
      </m:oMath>
      <w:r>
        <w:rPr>
          <w:iCs/>
          <w:i/>
        </w:rPr>
        <w:t xml:space="preserve"> </w:t>
      </w:r>
      <w:r>
        <w:rPr>
          <w:iCs/>
          <w:i/>
        </w:rPr>
        <w:t xml:space="preserve">(8.941 / 9.300 / 10.476) dùng cho mô hình xu thế đợt như kiểm định độ vững; kết quả chi tiết tại Chương 4, Mục 4.8.</w:t>
      </w:r>
    </w:p>
    <w:p>
      <w:r>
        <w:pict>
          <v:rect style="width:0;height:1.5pt" o:hralign="center" o:hrstd="t" o:hr="t"/>
        </w:pict>
      </w:r>
    </w:p>
    <w:bookmarkEnd w:id="127"/>
    <w:bookmarkStart w:id="128" w:name="Xaf6de9f3ce9dd2e126d4ad8a18cb74e94ed3202"/>
    <w:p>
      <w:pPr>
        <w:pStyle w:val="Heading4"/>
      </w:pPr>
      <w:r>
        <w:t xml:space="preserve">3.4.5.7 Mô hình cụ thể: Nghiên cứu 10 (Nhật Bản, WBES 2025)</w:t>
      </w:r>
    </w:p>
    <w:p>
      <w:pPr>
        <w:pStyle w:val="FirstParagraph"/>
      </w:pPr>
      <w:r>
        <w:t xml:space="preserve">Nghiên cứu 10 phân tích</w:t>
      </w:r>
      <w:r>
        <w:t xml:space="preserve"> </w:t>
      </w:r>
      <w:r>
        <w:rPr>
          <w:bCs/>
          <w:b/>
        </w:rPr>
        <w:t xml:space="preserve">đợt khảo sát WBES đầu tiên của Nhật Bản (2025)</w:t>
      </w:r>
      <w:r>
        <w:t xml:space="preserve">, với mẫu thô</w:t>
      </w:r>
      <w:r>
        <w:t xml:space="preserve"> </w:t>
      </w:r>
      <m:oMath>
        <m:r>
          <m:t>N</m:t>
        </m:r>
        <m:r>
          <m:rPr>
            <m:sty m:val="p"/>
          </m:rPr>
          <m:t>=</m:t>
        </m:r>
        <m:r>
          <m:t>2.168</m:t>
        </m:r>
      </m:oMath>
      <w:r>
        <w:t xml:space="preserve"> </w:t>
      </w:r>
      <w:r>
        <w:t xml:space="preserve">doanh nghiệp, mẫu phân tích chính</w:t>
      </w:r>
      <w:r>
        <w:t xml:space="preserve"> </w:t>
      </w:r>
      <m:oMath>
        <m:r>
          <m:t>N</m:t>
        </m:r>
        <m:r>
          <m:rPr>
            <m:sty m:val="p"/>
          </m:rPr>
          <m:t>=</m:t>
        </m:r>
        <m:r>
          <m:t>2.047</m:t>
        </m:r>
      </m:oMath>
      <w:r>
        <w:t xml:space="preserve"> </w:t>
      </w:r>
      <w:r>
        <w:t xml:space="preserve">(hồi quy FSTS) và</w:t>
      </w:r>
      <w:r>
        <w:t xml:space="preserve"> </w:t>
      </w:r>
      <m:oMath>
        <m:r>
          <m:t>N</m:t>
        </m:r>
        <m:r>
          <m:rPr>
            <m:sty m:val="p"/>
          </m:rPr>
          <m:t>=</m:t>
        </m:r>
        <m:r>
          <m:t>2.011</m:t>
        </m:r>
      </m:oMath>
      <w:r>
        <w:t xml:space="preserve"> </w:t>
      </w:r>
      <w:r>
        <w:t xml:space="preserve">(phần bù năng suất doanh nghiệp xuất khẩu). Nhật Bản là thành viên thứ sáu của Nhóm I ICRV (tiên tiến đổi mới sáng tạo) và là nền kinh tế có cơ sở lâu đời nhất mẫu gộp (tuổi doanh nghiệp trung bình 50,4 năm). Thiết kế là lát cắt ngang đơn đợt, ước lượng OLS với sai số chuẩn vững HC1 và hiệu ứng cố định ngành (</w:t>
      </w:r>
      <w:r>
        <w:rPr>
          <w:rStyle w:val="VerbatimChar"/>
        </w:rPr>
        <w:t xml:space="preserve">a4a</w:t>
      </w:r>
      <w:r>
        <w:t xml:space="preserve">). Đặc trưng mẫu: cường độ xuất khẩu trung bình rất thấp (FSTS 4,1%), tỷ lệ doanh nghiệp xuất khẩu 16,8%, website đã bão hòa (83,8%), nữ quản lý cấp cao mỏng nhất khu vực (7,3%).</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ln(doanh thu nội tệ / lao động thường trực)</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(d3c/100) − mean(FSTS): centred</w:t>
            </w:r>
          </w:p>
        </w:tc>
        <w:tc>
          <w:tcPr/>
          <w:p>
            <w:pPr>
              <w:pStyle w:val="Compact"/>
              <w:jc w:val="left"/>
            </w:pPr>
            <w:r>
              <w:t xml:space="preserve">Biến độc lập (I)</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I, kiểm định phi tuyến</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DAI_z</w:t>
            </w:r>
          </w:p>
        </w:tc>
        <w:tc>
          <w:tcPr/>
          <w:p>
            <w:pPr>
              <w:pStyle w:val="Compact"/>
              <w:jc w:val="left"/>
            </w:pPr>
            <w:r>
              <w:t xml:space="preserve">c22b, k33</w:t>
            </w:r>
          </w:p>
        </w:tc>
        <w:tc>
          <w:tcPr/>
          <w:p>
            <w:pPr>
              <w:pStyle w:val="Compact"/>
              <w:jc w:val="left"/>
            </w:pPr>
            <w:r>
              <w:t xml:space="preserve">chuẩn hóa z(website + thanh toán điện tử): Bậc 1 và 2</w:t>
            </w:r>
          </w:p>
        </w:tc>
        <w:tc>
          <w:tcPr/>
          <w:p>
            <w:pPr>
              <w:pStyle w:val="Compact"/>
              <w:jc w:val="left"/>
            </w:pPr>
            <w:r>
              <w:t xml:space="preserve">Số hoá (bão hòa Bậc 1)</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Export</w:t>
            </w:r>
          </w:p>
        </w:tc>
        <w:tc>
          <w:tcPr/>
          <w:p>
            <w:pPr>
              <w:pStyle w:val="Compact"/>
              <w:jc w:val="left"/>
            </w:pPr>
            <w:r>
              <w:t xml:space="preserve">d3c&gt;0</w:t>
            </w:r>
          </w:p>
        </w:tc>
        <w:tc>
          <w:tcPr/>
          <w:p>
            <w:pPr>
              <w:pStyle w:val="Compact"/>
              <w:jc w:val="left"/>
            </w:pPr>
            <w:r>
              <w:t xml:space="preserve">1 nếu doanh nghiệp có xuất khẩu</w:t>
            </w:r>
          </w:p>
        </w:tc>
        <w:tc>
          <w:tcPr/>
          <w:p>
            <w:pPr>
              <w:pStyle w:val="Compact"/>
              <w:jc w:val="left"/>
            </w:pPr>
            <w:r>
              <w:t xml:space="preserve">Biên rộng (tham gia)</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δ_s</w:t>
            </w:r>
          </w:p>
        </w:tc>
        <w:tc>
          <w:tcPr/>
          <w:p>
            <w:pPr>
              <w:pStyle w:val="Compact"/>
              <w:jc w:val="left"/>
            </w:pPr>
            <w:r>
              <w:t xml:space="preserve">a4a</w:t>
            </w:r>
          </w:p>
        </w:tc>
        <w:tc>
          <w:tcPr/>
          <w:p>
            <w:pPr>
              <w:pStyle w:val="Compact"/>
              <w:jc w:val="left"/>
            </w:pPr>
            <w:r>
              <w:t xml:space="preserve">hiệu ứng cố định ngành</w:t>
            </w:r>
          </w:p>
        </w:tc>
        <w:tc>
          <w:tcPr/>
          <w:p>
            <w:pPr>
              <w:pStyle w:val="Compact"/>
              <w:jc w:val="left"/>
            </w:pPr>
            <w:r>
              <w:t xml:space="preserve">hiệu ứng cố định</w:t>
            </w:r>
          </w:p>
        </w:tc>
      </w:tr>
    </w:tbl>
    <w:p>
      <w:pPr>
        <w:pStyle w:val="BodyText"/>
      </w:pPr>
      <w:r>
        <w:rPr>
          <w:bCs/>
          <w:b/>
        </w:rPr>
        <w:t xml:space="preserve">Chuỗi mô hình M1–M5 (P10):</w:t>
      </w:r>
    </w:p>
    <w:p>
      <w:pPr>
        <w:pStyle w:val="BodyText"/>
      </w:pPr>
      <w:r>
        <w:t xml:space="preserve">M1 (tuyến tính cơ sở):</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δ</m:t>
              </m:r>
            </m:e>
            <m:sub>
              <m:r>
                <m:t>s</m:t>
              </m:r>
            </m:sub>
          </m:sSub>
          <m:r>
            <m:rPr>
              <m:sty m:val="p"/>
            </m:rPr>
            <m:t>+</m:t>
          </m:r>
          <m:sSub>
            <m:e>
              <m:r>
                <m:t>ε</m:t>
              </m:r>
            </m:e>
            <m:sub>
              <m:r>
                <m:t>i</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sSup>
            <m:e>
              <m:r>
                <m:t>671</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r>
                <m:rPr>
                  <m:sty m:val="p"/>
                </m:rPr>
                <m:t>;</m:t>
              </m:r>
              <m:r>
                <m:t> </m:t>
              </m:r>
              <m:r>
                <m:t>N</m:t>
              </m:r>
              <m:r>
                <m:rPr>
                  <m:sty m:val="p"/>
                </m:rPr>
                <m:t>=</m:t>
              </m:r>
              <m:r>
                <m:t>2.047</m:t>
              </m:r>
            </m:e>
          </m:d>
        </m:oMath>
      </m:oMathPara>
    </w:p>
    <w:p>
      <w:pPr>
        <w:pStyle w:val="FirstParagraph"/>
      </w:pPr>
      <w:r>
        <w:t xml:space="preserve">M2 (phi tuyến, kiểm định H1):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δ</m:t>
              </m:r>
            </m:e>
            <m:sub>
              <m:r>
                <m:t>s</m:t>
              </m:r>
            </m:sub>
          </m:sSub>
          <m:r>
            <m:rPr>
              <m:sty m:val="p"/>
            </m:rPr>
            <m:t>+</m:t>
          </m:r>
          <m:sSub>
            <m:e>
              <m:r>
                <m:t>ε</m:t>
              </m:r>
            </m:e>
            <m:sub>
              <m:r>
                <m:t>i</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sSup>
            <m:e>
              <m:r>
                <m:t>042</m:t>
              </m:r>
            </m:e>
            <m:sup>
              <m:r>
                <m:rPr>
                  <m:sty m:val="p"/>
                </m:rPr>
                <m:t>*</m:t>
              </m:r>
              <m:r>
                <m:rPr>
                  <m:sty m:val="p"/>
                </m:rPr>
                <m:t>*</m:t>
              </m:r>
            </m:sup>
          </m:sSup>
          <m:r>
            <m:t> </m:t>
          </m:r>
          <m:d>
            <m:dPr>
              <m:begChr m:val="("/>
              <m:endChr m:val=")"/>
              <m:sepChr m:val=""/>
              <m:grow/>
            </m:dPr>
            <m:e>
              <m:r>
                <m:t>p</m:t>
              </m:r>
              <m:r>
                <m:rPr>
                  <m:sty m:val="p"/>
                </m:rPr>
                <m:t>=</m:t>
              </m:r>
              <m:r>
                <m:rPr>
                  <m:sty m:val="p"/>
                </m:rPr>
                <m:t>,</m:t>
              </m:r>
              <m:r>
                <m:t>002</m:t>
              </m:r>
            </m:e>
          </m:d>
          <m:r>
            <m:rPr>
              <m:sty m:val="p"/>
            </m:rPr>
            <m:t>;</m:t>
          </m:r>
          <m:r>
            <m:t> </m:t>
          </m:r>
          <m:sSub>
            <m:e>
              <m:r>
                <m:t>β</m:t>
              </m:r>
            </m:e>
            <m:sub>
              <m:r>
                <m:t>2</m:t>
              </m:r>
            </m:sub>
          </m:sSub>
          <m:r>
            <m:rPr>
              <m:sty m:val="p"/>
            </m:rPr>
            <m:t>=</m:t>
          </m:r>
          <m:r>
            <m:rPr>
              <m:sty m:val="p"/>
            </m:rPr>
            <m:t>−</m:t>
          </m:r>
          <m:r>
            <m:t>0</m:t>
          </m:r>
          <m:r>
            <m:rPr>
              <m:sty m:val="p"/>
            </m:rPr>
            <m:t>,</m:t>
          </m:r>
          <m:r>
            <m:t>606</m:t>
          </m:r>
          <m:r>
            <m:t> </m:t>
          </m:r>
          <m:d>
            <m:dPr>
              <m:begChr m:val="("/>
              <m:endChr m:val=")"/>
              <m:sepChr m:val=""/>
              <m:grow/>
            </m:dPr>
            <m:e>
              <m:r>
                <m:t>p</m:t>
              </m:r>
              <m:r>
                <m:rPr>
                  <m:sty m:val="p"/>
                </m:rPr>
                <m:t>=</m:t>
              </m:r>
              <m:r>
                <m:rPr>
                  <m:sty m:val="p"/>
                </m:rPr>
                <m:t>,</m:t>
              </m:r>
              <m:r>
                <m:t>323</m:t>
              </m:r>
              <m:r>
                <m:rPr>
                  <m:sty m:val="p"/>
                </m:rPr>
                <m:t>,</m:t>
              </m:r>
              <m:r>
                <m:t> </m:t>
              </m:r>
              <m:r>
                <m:rPr>
                  <m:nor/>
                  <m:sty m:val="p"/>
                </m:rPr>
                <m:t>NS</m:t>
              </m:r>
            </m:e>
          </m:d>
          <m:r>
            <m:rPr>
              <m:sty m:val="p"/>
            </m:rPr>
            <m:t>;</m:t>
          </m:r>
          <m:r>
            <m:t> </m:t>
          </m:r>
          <m:r>
            <m:rPr>
              <m:sty m:val="p"/>
            </m:rPr>
            <m:t>T</m:t>
          </m:r>
          <m:r>
            <m:rPr>
              <m:sty m:val="p"/>
            </m:rPr>
            <m:t>P</m:t>
          </m:r>
          <m:r>
            <m:rPr>
              <m:sty m:val="p"/>
            </m:rPr>
            <m:t>=</m:t>
          </m:r>
          <m:d>
            <m:dPr>
              <m:begChr m:val="["/>
              <m:endChr m:val="]"/>
              <m:sepChr m:val=""/>
              <m:grow/>
            </m:dPr>
            <m:e>
              <m:r>
                <m:t>90</m:t>
              </m:r>
              <m:r>
                <m:rPr>
                  <m:sty m:val="p"/>
                </m:rPr>
                <m:t>,</m:t>
              </m:r>
              <m:r>
                <m:t>1</m:t>
              </m:r>
              <m:r>
                <m:rPr>
                  <m:sty m:val="p"/>
                </m:rPr>
                <m:t>%</m:t>
              </m:r>
            </m:e>
          </m:d>
          <m:r>
            <m:t> </m:t>
          </m:r>
          <m:r>
            <m:rPr>
              <m:nor/>
              <m:sty m:val="p"/>
            </m:rPr>
            <m:t>ngoài miền</m:t>
          </m:r>
          <m:r>
            <m:rPr>
              <m:sty m:val="p"/>
            </m:rPr>
            <m:t>⇒</m:t>
          </m:r>
          <m:r>
            <m:rPr>
              <m:nor/>
              <m:sty m:val="p"/>
            </m:rPr>
            <m:t>không có chữ U ngược</m:t>
          </m:r>
        </m:oMath>
      </m:oMathPara>
    </w:p>
    <w:p>
      <w:pPr>
        <w:pStyle w:val="FirstParagraph"/>
      </w:pPr>
      <w:r>
        <w:t xml:space="preserve">M3 (M2 + kiểm soát nhân khẩu); M4 (M3 + TCI, DAI); M5 (M4 + tương tác uốn đường cong):</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r>
            <m:t>ε</m:t>
          </m:r>
        </m:oMath>
      </m:oMathPara>
    </w:p>
    <w:p>
      <w:pPr>
        <w:pStyle w:val="FirstParagraph"/>
      </w:pPr>
      <m:oMathPara>
        <m:oMathParaPr>
          <m:jc m:val="center"/>
        </m:oMathParaPr>
        <m:oMath>
          <m:sSub>
            <m:e>
              <m:r>
                <m:t>β</m:t>
              </m:r>
            </m:e>
            <m:sub>
              <m:r>
                <m:t>3</m:t>
              </m:r>
            </m:sub>
          </m:sSub>
          <m:r>
            <m:t> </m:t>
          </m:r>
          <m:d>
            <m:dPr>
              <m:begChr m:val="("/>
              <m:endChr m:val=")"/>
              <m:sepChr m:val=""/>
              <m:grow/>
            </m:dPr>
            <m:e>
              <m:sSub>
                <m:e>
                  <m:r>
                    <m:rPr>
                      <m:sty m:val="p"/>
                    </m:rPr>
                    <m:t>T</m:t>
                  </m:r>
                  <m:r>
                    <m:rPr>
                      <m:sty m:val="p"/>
                    </m:rPr>
                    <m:t>C</m:t>
                  </m:r>
                  <m:r>
                    <m:rPr>
                      <m:sty m:val="p"/>
                    </m:rPr>
                    <m:t>I</m:t>
                  </m:r>
                </m:e>
                <m:sub>
                  <m:r>
                    <m:t>z</m:t>
                  </m:r>
                </m:sub>
              </m:sSub>
            </m:e>
          </m:d>
          <m:r>
            <m:rPr>
              <m:sty m:val="p"/>
            </m:rPr>
            <m:t>=</m:t>
          </m:r>
          <m:r>
            <m:rPr>
              <m:sty m:val="p"/>
            </m:rPr>
            <m:t>+</m:t>
          </m:r>
          <m:r>
            <m:t>0</m:t>
          </m:r>
          <m:r>
            <m:rPr>
              <m:sty m:val="p"/>
            </m:rPr>
            <m:t>,</m:t>
          </m:r>
          <m:sSup>
            <m:e>
              <m:r>
                <m:t>100</m:t>
              </m:r>
            </m:e>
            <m:sup>
              <m:r>
                <m:rPr>
                  <m:sty m:val="p"/>
                </m:rPr>
                <m:t>*</m:t>
              </m:r>
              <m:r>
                <m:rPr>
                  <m:sty m:val="p"/>
                </m:rPr>
                <m:t>*</m:t>
              </m:r>
              <m:r>
                <m:rPr>
                  <m:sty m:val="p"/>
                </m:rPr>
                <m:t>*</m:t>
              </m:r>
            </m:sup>
          </m:sSup>
          <m:r>
            <m:rPr>
              <m:sty m:val="p"/>
            </m:rPr>
            <m:t>;</m:t>
          </m:r>
          <m:r>
            <m:t> </m:t>
          </m:r>
          <m:sSub>
            <m:e>
              <m:r>
                <m:t>β</m:t>
              </m:r>
            </m:e>
            <m:sub>
              <m:r>
                <m:t>4</m:t>
              </m:r>
            </m:sub>
          </m:sSub>
          <m:r>
            <m:t> </m:t>
          </m:r>
          <m:d>
            <m:dPr>
              <m:begChr m:val="("/>
              <m:endChr m:val=")"/>
              <m:sepChr m:val=""/>
              <m:grow/>
            </m:dPr>
            <m:e>
              <m:sSub>
                <m:e>
                  <m:r>
                    <m:rPr>
                      <m:sty m:val="p"/>
                    </m:rPr>
                    <m:t>D</m:t>
                  </m:r>
                  <m:r>
                    <m:rPr>
                      <m:sty m:val="p"/>
                    </m:rPr>
                    <m:t>A</m:t>
                  </m:r>
                  <m:r>
                    <m:rPr>
                      <m:sty m:val="p"/>
                    </m:rPr>
                    <m:t>I</m:t>
                  </m:r>
                </m:e>
                <m:sub>
                  <m:r>
                    <m:t>z</m:t>
                  </m:r>
                </m:sub>
              </m:sSub>
            </m:e>
          </m:d>
          <m:r>
            <m:rPr>
              <m:sty m:val="p"/>
            </m:rPr>
            <m:t>=</m:t>
          </m:r>
          <m:r>
            <m:rPr>
              <m:sty m:val="p"/>
            </m:rPr>
            <m:t>+</m:t>
          </m:r>
          <m:r>
            <m:t>0</m:t>
          </m:r>
          <m:r>
            <m:rPr>
              <m:sty m:val="p"/>
            </m:rPr>
            <m:t>,</m:t>
          </m:r>
          <m:sSup>
            <m:e>
              <m:r>
                <m:t>110</m:t>
              </m:r>
            </m:e>
            <m:sup>
              <m:r>
                <m:rPr>
                  <m:sty m:val="p"/>
                </m:rPr>
                <m:t>*</m:t>
              </m:r>
            </m:sup>
          </m:sSup>
          <m:r>
            <m:rPr>
              <m:sty m:val="p"/>
            </m:rPr>
            <m:t>;</m:t>
          </m:r>
          <m:r>
            <m:t> </m:t>
          </m:r>
          <m:r>
            <m:rPr>
              <m:nor/>
              <m:sty m:val="p"/>
            </m:rPr>
            <m:t>tương tác uốn đường cong NS qua M3–M5</m:t>
          </m:r>
        </m:oMath>
      </m:oMathPara>
    </w:p>
    <w:p>
      <w:pPr>
        <w:pStyle w:val="FirstParagraph"/>
      </w:pPr>
      <w:r>
        <w:rPr>
          <w:bCs/>
          <w:b/>
        </w:rPr>
        <w:t xml:space="preserve">Mô hình xác suất tham gia (biên rộng, kiểm định H4):</w:t>
      </w:r>
      <w:r>
        <w:t xml:space="preserve"> </w:t>
      </w:r>
      <w:r>
        <w:t xml:space="preserve">vì đường cường độ phẳng trong miền quan sát, biến thiên có ý nghĩa nằm ở</w:t>
      </w:r>
      <w:r>
        <w:t xml:space="preserve"> </w:t>
      </w:r>
      <w:r>
        <w:rPr>
          <w:iCs/>
          <w:i/>
        </w:rPr>
        <w:t xml:space="preserve">ai</w:t>
      </w:r>
      <w:r>
        <w:t xml:space="preserve"> </w:t>
      </w:r>
      <w:r>
        <w:t xml:space="preserve">xuất khẩu:</w:t>
      </w:r>
    </w:p>
    <w:p>
      <w:pPr>
        <w:pStyle w:val="BodyText"/>
      </w:pPr>
      <m:oMathPara>
        <m:oMathParaPr>
          <m:jc m:val="center"/>
        </m:oMathParaPr>
        <m:oMath>
          <m:r>
            <m:rPr>
              <m:sty m:val="p"/>
            </m:rPr>
            <m:t>Pr</m:t>
          </m:r>
          <m:d>
            <m:dPr>
              <m:begChr m:val="("/>
              <m:endChr m:val=")"/>
              <m:sepChr m:val=""/>
              <m:grow/>
            </m:dPr>
            <m:e>
              <m:sSub>
                <m:e>
                  <m:r>
                    <m:rPr>
                      <m:sty m:val="p"/>
                    </m:rPr>
                    <m:t>E</m:t>
                  </m:r>
                  <m:r>
                    <m:rPr>
                      <m:sty m:val="p"/>
                    </m:rPr>
                    <m:t>x</m:t>
                  </m:r>
                  <m:r>
                    <m:rPr>
                      <m:sty m:val="p"/>
                    </m:rPr>
                    <m:t>p</m:t>
                  </m:r>
                  <m:r>
                    <m:rPr>
                      <m:sty m:val="p"/>
                    </m:rPr>
                    <m:t>o</m:t>
                  </m:r>
                  <m:r>
                    <m:rPr>
                      <m:sty m:val="p"/>
                    </m:rPr>
                    <m:t>r</m:t>
                  </m:r>
                  <m:r>
                    <m:rPr>
                      <m:sty m:val="p"/>
                    </m:rPr>
                    <m:t>t</m:t>
                  </m:r>
                </m:e>
                <m:sub>
                  <m:r>
                    <m:t>i</m:t>
                  </m:r>
                </m:sub>
              </m:sSub>
              <m:r>
                <m:rPr>
                  <m:sty m:val="p"/>
                </m:rPr>
                <m:t>=</m:t>
              </m:r>
              <m:r>
                <m:t>1</m:t>
              </m:r>
            </m:e>
          </m:d>
          <m:r>
            <m:rPr>
              <m:sty m:val="p"/>
            </m:rPr>
            <m:t>=</m:t>
          </m:r>
          <m:r>
            <m:t>α</m:t>
          </m:r>
          <m:r>
            <m:rPr>
              <m:sty m:val="p"/>
            </m:rPr>
            <m:t>+</m:t>
          </m:r>
          <m:sSub>
            <m:e>
              <m:r>
                <m:t>θ</m:t>
              </m:r>
            </m:e>
            <m:sub>
              <m:r>
                <m:t>1</m:t>
              </m:r>
            </m:sub>
          </m:sSub>
          <m:sSub>
            <m:e>
              <m:r>
                <m:rPr>
                  <m:sty m:val="p"/>
                </m:rPr>
                <m:t>O</m:t>
              </m:r>
              <m:r>
                <m:rPr>
                  <m:sty m:val="p"/>
                </m:rPr>
                <m:t>w</m:t>
              </m:r>
              <m:r>
                <m:rPr>
                  <m:sty m:val="p"/>
                </m:rPr>
                <m:t>n</m:t>
              </m:r>
            </m:e>
            <m:sub>
              <m:r>
                <m:t>i</m:t>
              </m:r>
            </m:sub>
          </m:sSub>
          <m:r>
            <m:rPr>
              <m:sty m:val="p"/>
            </m:rPr>
            <m:t>+</m:t>
          </m:r>
          <m:sSub>
            <m:e>
              <m:r>
                <m:t>θ</m:t>
              </m:r>
            </m:e>
            <m:sub>
              <m:r>
                <m:t>2</m:t>
              </m:r>
            </m:sub>
          </m:sSub>
          <m:sSub>
            <m:e>
              <m:r>
                <m:rPr>
                  <m:sty m:val="p"/>
                </m:rPr>
                <m:t>T</m:t>
              </m:r>
              <m:r>
                <m:rPr>
                  <m:sty m:val="p"/>
                </m:rPr>
                <m:t>C</m:t>
              </m:r>
              <m:r>
                <m:rPr>
                  <m:sty m:val="p"/>
                </m:rPr>
                <m:t>I</m:t>
              </m:r>
            </m:e>
            <m:sub>
              <m:r>
                <m:t>z</m:t>
              </m:r>
              <m:r>
                <m:rPr>
                  <m:sty m:val="p"/>
                </m:rPr>
                <m:t>,</m:t>
              </m:r>
              <m:r>
                <m:t>i</m:t>
              </m:r>
            </m:sub>
          </m:sSub>
          <m:r>
            <m:rPr>
              <m:sty m:val="p"/>
            </m:rPr>
            <m:t>+</m:t>
          </m:r>
          <m:sSub>
            <m:e>
              <m:r>
                <m:t>θ</m:t>
              </m:r>
            </m:e>
            <m:sub>
              <m:r>
                <m:t>3</m:t>
              </m:r>
            </m:sub>
          </m:sSub>
          <m:sSub>
            <m:e>
              <m:r>
                <m:rPr>
                  <m:sty m:val="p"/>
                </m:rPr>
                <m:t>D</m:t>
              </m:r>
              <m:r>
                <m:rPr>
                  <m:sty m:val="p"/>
                </m:rPr>
                <m:t>A</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sSub>
            <m:e>
              <m:r>
                <m:t>θ</m:t>
              </m:r>
            </m:e>
            <m:sub>
              <m:r>
                <m:t>1</m:t>
              </m:r>
            </m:sub>
          </m:sSub>
          <m:r>
            <m:t> </m:t>
          </m:r>
          <m:d>
            <m:dPr>
              <m:begChr m:val="("/>
              <m:endChr m:val=")"/>
              <m:sepChr m:val=""/>
              <m:grow/>
            </m:dPr>
            <m:e>
              <m:r>
                <m:rPr>
                  <m:sty m:val="p"/>
                </m:rPr>
                <m:t>O</m:t>
              </m:r>
              <m:r>
                <m:rPr>
                  <m:sty m:val="p"/>
                </m:rPr>
                <m:t>w</m:t>
              </m:r>
              <m:r>
                <m:rPr>
                  <m:sty m:val="p"/>
                </m:rPr>
                <m:t>n</m:t>
              </m:r>
            </m:e>
          </m:d>
          <m:r>
            <m:rPr>
              <m:sty m:val="p"/>
            </m:rPr>
            <m:t>=</m:t>
          </m:r>
          <m:r>
            <m:rPr>
              <m:sty m:val="p"/>
            </m:rPr>
            <m:t>+</m:t>
          </m:r>
          <m:r>
            <m:t>0</m:t>
          </m:r>
          <m:r>
            <m:rPr>
              <m:sty m:val="p"/>
            </m:rPr>
            <m:t>,</m:t>
          </m:r>
          <m:sSup>
            <m:e>
              <m:r>
                <m:t>408</m:t>
              </m:r>
            </m:e>
            <m:sup>
              <m:r>
                <m:rPr>
                  <m:sty m:val="p"/>
                </m:rPr>
                <m:t>*</m:t>
              </m:r>
              <m:r>
                <m:rPr>
                  <m:sty m:val="p"/>
                </m:rPr>
                <m:t>*</m:t>
              </m:r>
              <m:r>
                <m:rPr>
                  <m:sty m:val="p"/>
                </m:rPr>
                <m:t>*</m:t>
              </m:r>
            </m:sup>
          </m:sSup>
          <m:r>
            <m:rPr>
              <m:sty m:val="p"/>
            </m:rPr>
            <m:t>;</m:t>
          </m:r>
          <m:r>
            <m:t> </m:t>
          </m:r>
          <m:sSub>
            <m:e>
              <m:r>
                <m:t>θ</m:t>
              </m:r>
            </m:e>
            <m:sub>
              <m:r>
                <m:t>2</m:t>
              </m:r>
            </m:sub>
          </m:sSub>
          <m:r>
            <m:t> </m:t>
          </m:r>
          <m:d>
            <m:dPr>
              <m:begChr m:val="("/>
              <m:endChr m:val=")"/>
              <m:sepChr m:val=""/>
              <m:grow/>
            </m:dPr>
            <m:e>
              <m:r>
                <m:rPr>
                  <m:sty m:val="p"/>
                </m:rPr>
                <m:t>T</m:t>
              </m:r>
              <m:r>
                <m:rPr>
                  <m:sty m:val="p"/>
                </m:rPr>
                <m:t>C</m:t>
              </m:r>
              <m:r>
                <m:rPr>
                  <m:sty m:val="p"/>
                </m:rPr>
                <m:t>I</m:t>
              </m:r>
            </m:e>
          </m:d>
          <m:r>
            <m:rPr>
              <m:sty m:val="p"/>
            </m:rPr>
            <m:t>=</m:t>
          </m:r>
          <m:r>
            <m:rPr>
              <m:sty m:val="p"/>
            </m:rPr>
            <m:t>+</m:t>
          </m:r>
          <m:r>
            <m:t>0</m:t>
          </m:r>
          <m:r>
            <m:rPr>
              <m:sty m:val="p"/>
            </m:rPr>
            <m:t>,</m:t>
          </m:r>
          <m:sSup>
            <m:e>
              <m:r>
                <m:t>083</m:t>
              </m:r>
            </m:e>
            <m:sup>
              <m:r>
                <m:rPr>
                  <m:sty m:val="p"/>
                </m:rPr>
                <m:t>*</m:t>
              </m:r>
              <m:r>
                <m:rPr>
                  <m:sty m:val="p"/>
                </m:rPr>
                <m:t>*</m:t>
              </m:r>
              <m:r>
                <m:rPr>
                  <m:sty m:val="p"/>
                </m:rPr>
                <m:t>*</m:t>
              </m:r>
            </m:sup>
          </m:sSup>
          <m:r>
            <m:rPr>
              <m:sty m:val="p"/>
            </m:rPr>
            <m:t>;</m:t>
          </m:r>
          <m:r>
            <m:t> </m:t>
          </m:r>
          <m:sSub>
            <m:e>
              <m:r>
                <m:t>θ</m:t>
              </m:r>
            </m:e>
            <m:sub>
              <m:r>
                <m:t>3</m:t>
              </m:r>
            </m:sub>
          </m:sSub>
          <m:r>
            <m:t> </m:t>
          </m:r>
          <m:d>
            <m:dPr>
              <m:begChr m:val="("/>
              <m:endChr m:val=")"/>
              <m:sepChr m:val=""/>
              <m:grow/>
            </m:dPr>
            <m:e>
              <m:r>
                <m:rPr>
                  <m:sty m:val="p"/>
                </m:rPr>
                <m:t>D</m:t>
              </m:r>
              <m:r>
                <m:rPr>
                  <m:sty m:val="p"/>
                </m:rPr>
                <m:t>A</m:t>
              </m:r>
              <m:r>
                <m:rPr>
                  <m:sty m:val="p"/>
                </m:rPr>
                <m:t>I</m:t>
              </m:r>
            </m:e>
          </m:d>
          <m:r>
            <m:rPr>
              <m:sty m:val="p"/>
            </m:rPr>
            <m:t>=</m:t>
          </m:r>
          <m:r>
            <m:rPr>
              <m:sty m:val="p"/>
            </m:rPr>
            <m:t>+</m:t>
          </m:r>
          <m:r>
            <m:t>0</m:t>
          </m:r>
          <m:r>
            <m:rPr>
              <m:sty m:val="p"/>
            </m:rPr>
            <m:t>,</m:t>
          </m:r>
          <m:sSup>
            <m:e>
              <m:r>
                <m:t>046</m:t>
              </m:r>
            </m:e>
            <m:sup>
              <m:r>
                <m:rPr>
                  <m:sty m:val="p"/>
                </m:rPr>
                <m:t>*</m:t>
              </m:r>
              <m:r>
                <m:rPr>
                  <m:sty m:val="p"/>
                </m:rPr>
                <m:t>*</m:t>
              </m:r>
            </m:sup>
          </m:sSup>
          <m:r>
            <m:rPr>
              <m:sty m:val="p"/>
            </m:rPr>
            <m:t>;</m:t>
          </m:r>
          <m:r>
            <m:t> </m:t>
          </m:r>
          <m:sSup>
            <m:e>
              <m:r>
                <m:t>R</m:t>
              </m:r>
            </m:e>
            <m:sup>
              <m:r>
                <m:t>2</m:t>
              </m:r>
            </m:sup>
          </m:sSup>
          <m:r>
            <m:rPr>
              <m:sty m:val="p"/>
            </m:rPr>
            <m:t>=</m:t>
          </m:r>
          <m:r>
            <m:t>0</m:t>
          </m:r>
          <m:r>
            <m:rPr>
              <m:sty m:val="p"/>
            </m:rPr>
            <m:t>,</m:t>
          </m:r>
          <m:r>
            <m:t>228</m:t>
          </m:r>
        </m:oMath>
      </m:oMathPara>
    </w:p>
    <w:p>
      <w:pPr>
        <w:pStyle w:val="FirstParagraph"/>
      </w:pPr>
      <m:oMathPara>
        <m:oMathParaPr>
          <m:jc m:val="center"/>
        </m:oMathParaPr>
        <m:oMath>
          <m:r>
            <m:rPr>
              <m:nor/>
              <m:sty m:val="p"/>
            </m:rPr>
            <m:t>Phần bù năng suất doanh nghiệp xuất khẩu</m:t>
          </m:r>
          <m:r>
            <m:rPr>
              <m:sty m:val="p"/>
            </m:rPr>
            <m:t>=</m:t>
          </m:r>
          <m:r>
            <m:rPr>
              <m:sty m:val="p"/>
            </m:rPr>
            <m:t>+</m:t>
          </m:r>
          <m:r>
            <m:t>0</m:t>
          </m:r>
          <m:r>
            <m:rPr>
              <m:sty m:val="p"/>
            </m:rPr>
            <m:t>,</m:t>
          </m:r>
          <m:sSup>
            <m:e>
              <m:r>
                <m:t>258</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r>
                <m:rPr>
                  <m:sty m:val="p"/>
                </m:rPr>
                <m:t>;</m:t>
              </m:r>
              <m:r>
                <m:t> </m:t>
              </m:r>
              <m:r>
                <m:t>N</m:t>
              </m:r>
              <m:r>
                <m:rPr>
                  <m:sty m:val="p"/>
                </m:rPr>
                <m:t>=</m:t>
              </m:r>
              <m:r>
                <m:t>2.011</m:t>
              </m:r>
            </m:e>
          </m:d>
        </m:oMath>
      </m:oMathPara>
    </w:p>
    <w:p>
      <w:pPr>
        <w:pStyle w:val="FirstParagraph"/>
      </w:pPr>
      <w:r>
        <w:rPr>
          <w:iCs/>
          <w:i/>
        </w:rPr>
        <w:t xml:space="preserve">Ghi chú: Sai số chuẩn HC1, hiệu ứng cố định ngành</w:t>
      </w:r>
      <w:r>
        <w:rPr>
          <w:iCs/>
          <w:i/>
        </w:rPr>
        <w:t xml:space="preserve"> </w:t>
      </w:r>
      <w:r>
        <w:rPr>
          <w:rStyle w:val="VerbatimChar"/>
          <w:iCs/>
          <w:i/>
        </w:rPr>
        <w:t xml:space="preserve">a4a</w:t>
      </w:r>
      <w:r>
        <w:rPr>
          <w:iCs/>
          <w:i/>
        </w:rPr>
        <w:t xml:space="preserve">. DAI Bậc 1 và 2 nhưng website đã bão hòa 83,8% nên phần bù DAI bị nén còn khoảng một nửa mức gộp 50 nền. Quan hệ FSTS gần tuyến tính, không có chữ U ngược (Lind–Mehlum NS qua mọi mô hình), nhất quán với cấp nhóm Advanced của Nghiên cứu 7 và với Singapore (P4): ở biên trên phổ thể chế, cơ chế chuyển từ biên cường độ sang biên rộng (tự chọn lọc Melitz 2003). Tái lập:</w:t>
      </w:r>
      <w:r>
        <w:rPr>
          <w:iCs/>
          <w:i/>
        </w:rPr>
        <w:t xml:space="preserve"> </w:t>
      </w:r>
      <w:r>
        <w:rPr>
          <w:rStyle w:val="VerbatimChar"/>
          <w:iCs/>
          <w:i/>
        </w:rPr>
        <w:t xml:space="preserve">p10_japan/replication/p10_japan_models.py</w:t>
      </w:r>
      <w:r>
        <w:rPr>
          <w:iCs/>
          <w:i/>
        </w:rPr>
        <w:t xml:space="preserve">. Kết quả chi tiết tại Chương 4, Mục 4.9.</w:t>
      </w:r>
    </w:p>
    <w:p>
      <w:r>
        <w:pict>
          <v:rect style="width:0;height:1.5pt" o:hralign="center" o:hrstd="t" o:hr="t"/>
        </w:pict>
      </w:r>
    </w:p>
    <w:bookmarkEnd w:id="128"/>
    <w:bookmarkStart w:id="129" w:name="X2dcd08b74b2b6261fe0c7239f3f462d9ebbbd6c"/>
    <w:p>
      <w:pPr>
        <w:pStyle w:val="Heading4"/>
      </w:pPr>
      <w:r>
        <w:t xml:space="preserve">3.4.5.8 Hai nghiên cứu nền tảng: đa quốc gia 17 nền (P1) và doanh nghiệp nhỏ và vừa Trung Quốc (P2)</w:t>
      </w:r>
    </w:p>
    <w:p>
      <w:pPr>
        <w:pStyle w:val="FirstParagraph"/>
      </w:pPr>
      <w:r>
        <w:t xml:space="preserve">Ngoài bảy nghiên cứu đường cong ở trên, hai nghiên cứu nền tảng cung cấp bằng chứng cấp doanh nghiệp định khung cho luận án, được trình bày kết quả tại Chương 4 (Mục 4.1.7 và 4.4.8).</w:t>
      </w:r>
    </w:p>
    <w:p>
      <w:pPr>
        <w:pStyle w:val="BodyText"/>
      </w:pPr>
      <w:r>
        <w:rPr>
          <w:bCs/>
          <w:b/>
        </w:rPr>
        <w:t xml:space="preserve">Nghiên cứu 1 (P1): phân tầng năng suất vùng và hiệu ứng lá chắn số.</w:t>
      </w:r>
      <w:r>
        <w:t xml:space="preserve"> </w:t>
      </w:r>
      <w:r>
        <w:t xml:space="preserve">Mẫu phân tích</w:t>
      </w:r>
      <w:r>
        <w:t xml:space="preserve"> </w:t>
      </w:r>
      <m:oMath>
        <m:r>
          <m:t>N</m:t>
        </m:r>
        <m:r>
          <m:rPr>
            <m:sty m:val="p"/>
          </m:rPr>
          <m:t>=</m:t>
        </m:r>
        <m:r>
          <m:t>40.633</m:t>
        </m:r>
      </m:oMath>
      <w:r>
        <w:t xml:space="preserve"> </w:t>
      </w:r>
      <w:r>
        <w:t xml:space="preserve">doanh nghiệp tại 17 nền kinh tế châu Á (2009–2024), nhóm thành ba cụm vùng: Đại Trung Hoa (5.251), ASEAN (12.068), Nam Á (23.314). Biến phụ thuộc là ln(năng suất lao động) winsorize tại bách phân vị 1 và 99. Thiết kế OLS phân tầng theo khối biến,</w:t>
      </w:r>
      <w:r>
        <w:t xml:space="preserve"> </w:t>
      </w:r>
      <w:r>
        <w:rPr>
          <w:bCs/>
          <w:b/>
        </w:rPr>
        <w:t xml:space="preserve">không có số hạng FSTS</w:t>
      </w:r>
      <w:r>
        <w:t xml:space="preserve"> </w:t>
      </w:r>
      <w:r>
        <w:t xml:space="preserve">(trọng tâm là năng lực và rào cản thể chế, không phải cường độ xuất khẩu). Chuỗi mô hình: M1 chỉ biến vùng; M2 thêm khối năng lực (chấp nhận công nghệ, chứng nhận chất lượng); M3 thêm tương tác rào cản × năng lực.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R</m:t>
              </m:r>
              <m:r>
                <m:rPr>
                  <m:sty m:val="p"/>
                </m:rPr>
                <m:t>e</m:t>
              </m:r>
              <m:r>
                <m:rPr>
                  <m:sty m:val="p"/>
                </m:rPr>
                <m:t>g</m:t>
              </m:r>
              <m:r>
                <m:rPr>
                  <m:sty m:val="p"/>
                </m:rPr>
                <m:t>i</m:t>
              </m:r>
              <m:r>
                <m:rPr>
                  <m:sty m:val="p"/>
                </m:rPr>
                <m:t>o</m:t>
              </m:r>
              <m:r>
                <m:rPr>
                  <m:sty m:val="p"/>
                </m:rPr>
                <m:t>n</m:t>
              </m:r>
            </m:e>
            <m:sub>
              <m:r>
                <m:t>i</m:t>
              </m:r>
            </m:sub>
          </m:sSub>
          <m:r>
            <m:rPr>
              <m:sty m:val="p"/>
            </m:rPr>
            <m:t>+</m:t>
          </m:r>
          <m:sSub>
            <m:e>
              <m:r>
                <m:t>β</m:t>
              </m:r>
            </m:e>
            <m:sub>
              <m:r>
                <m:t>2</m:t>
              </m:r>
            </m:sub>
          </m:sSub>
          <m:sSub>
            <m:e>
              <m:r>
                <m:rPr>
                  <m:sty m:val="p"/>
                </m:rPr>
                <m:t>T</m:t>
              </m:r>
              <m:r>
                <m:rPr>
                  <m:sty m:val="p"/>
                </m:rPr>
                <m:t>e</m:t>
              </m:r>
              <m:r>
                <m:rPr>
                  <m:sty m:val="p"/>
                </m:rPr>
                <m:t>c</m:t>
              </m:r>
              <m:r>
                <m:rPr>
                  <m:sty m:val="p"/>
                </m:rPr>
                <m:t>h</m:t>
              </m:r>
              <m:r>
                <m:rPr>
                  <m:sty m:val="p"/>
                </m:rPr>
                <m:t>A</m:t>
              </m:r>
              <m:r>
                <m:rPr>
                  <m:sty m:val="p"/>
                </m:rPr>
                <m:t>d</m:t>
              </m:r>
              <m:r>
                <m:rPr>
                  <m:sty m:val="p"/>
                </m:rPr>
                <m:t>o</m:t>
              </m:r>
              <m:r>
                <m:rPr>
                  <m:sty m:val="p"/>
                </m:rPr>
                <m:t>p</m:t>
              </m:r>
              <m:r>
                <m:rPr>
                  <m:sty m:val="p"/>
                </m:rPr>
                <m:t>t</m:t>
              </m:r>
            </m:e>
            <m:sub>
              <m:r>
                <m:t>i</m:t>
              </m:r>
            </m:sub>
          </m:sSub>
          <m:r>
            <m:rPr>
              <m:sty m:val="p"/>
            </m:rPr>
            <m:t>+</m:t>
          </m:r>
          <m:sSub>
            <m:e>
              <m:r>
                <m:t>β</m:t>
              </m:r>
            </m:e>
            <m:sub>
              <m:r>
                <m:t>3</m:t>
              </m:r>
            </m:sub>
          </m:sSub>
          <m:sSub>
            <m:e>
              <m:r>
                <m:rPr>
                  <m:sty m:val="p"/>
                </m:rPr>
                <m:t>B</m:t>
              </m:r>
              <m:r>
                <m:rPr>
                  <m:sty m:val="p"/>
                </m:rPr>
                <m:t>a</m:t>
              </m:r>
              <m:r>
                <m:rPr>
                  <m:sty m:val="p"/>
                </m:rPr>
                <m:t>r</m:t>
              </m:r>
              <m:r>
                <m:rPr>
                  <m:sty m:val="p"/>
                </m:rPr>
                <m:t>r</m:t>
              </m:r>
              <m:r>
                <m:rPr>
                  <m:sty m:val="p"/>
                </m:rPr>
                <m:t>i</m:t>
              </m:r>
              <m:r>
                <m:rPr>
                  <m:sty m:val="p"/>
                </m:rPr>
                <m:t>e</m:t>
              </m:r>
              <m:r>
                <m:rPr>
                  <m:sty m:val="p"/>
                </m:rPr>
                <m:t>r</m:t>
              </m:r>
            </m:e>
            <m:sub>
              <m:r>
                <m:t>i</m:t>
              </m:r>
            </m:sub>
          </m:sSub>
          <m:r>
            <m:rPr>
              <m:sty m:val="p"/>
            </m:rPr>
            <m:t>+</m:t>
          </m:r>
          <m:sSub>
            <m:e>
              <m:r>
                <m:t>β</m:t>
              </m:r>
            </m:e>
            <m:sub>
              <m:r>
                <m:t>4</m:t>
              </m:r>
            </m:sub>
          </m:sSub>
          <m:d>
            <m:dPr>
              <m:begChr m:val="("/>
              <m:endChr m:val=")"/>
              <m:sepChr m:val=""/>
              <m:grow/>
            </m:dPr>
            <m:e>
              <m:sSub>
                <m:e>
                  <m:r>
                    <m:rPr>
                      <m:sty m:val="p"/>
                    </m:rPr>
                    <m:t>B</m:t>
                  </m:r>
                  <m:r>
                    <m:rPr>
                      <m:sty m:val="p"/>
                    </m:rPr>
                    <m:t>a</m:t>
                  </m:r>
                  <m:r>
                    <m:rPr>
                      <m:sty m:val="p"/>
                    </m:rPr>
                    <m:t>r</m:t>
                  </m:r>
                  <m:r>
                    <m:rPr>
                      <m:sty m:val="p"/>
                    </m:rPr>
                    <m:t>r</m:t>
                  </m:r>
                  <m:r>
                    <m:rPr>
                      <m:sty m:val="p"/>
                    </m:rPr>
                    <m:t>i</m:t>
                  </m:r>
                  <m:r>
                    <m:rPr>
                      <m:sty m:val="p"/>
                    </m:rPr>
                    <m:t>e</m:t>
                  </m:r>
                  <m:r>
                    <m:rPr>
                      <m:sty m:val="p"/>
                    </m:rPr>
                    <m:t>r</m:t>
                  </m:r>
                </m:e>
                <m:sub>
                  <m:r>
                    <m:t>i</m:t>
                  </m:r>
                </m:sub>
              </m:sSub>
              <m:r>
                <m:rPr>
                  <m:sty m:val="p"/>
                </m:rPr>
                <m:t>×</m:t>
              </m:r>
              <m:sSub>
                <m:e>
                  <m:r>
                    <m:rPr>
                      <m:sty m:val="p"/>
                    </m:rPr>
                    <m:t>T</m:t>
                  </m:r>
                  <m:r>
                    <m:rPr>
                      <m:sty m:val="p"/>
                    </m:rPr>
                    <m:t>e</m:t>
                  </m:r>
                  <m:r>
                    <m:rPr>
                      <m:sty m:val="p"/>
                    </m:rPr>
                    <m:t>c</m:t>
                  </m:r>
                  <m:r>
                    <m:rPr>
                      <m:sty m:val="p"/>
                    </m:rPr>
                    <m:t>h</m:t>
                  </m:r>
                  <m:r>
                    <m:rPr>
                      <m:sty m:val="p"/>
                    </m:rPr>
                    <m:t>A</m:t>
                  </m:r>
                  <m:r>
                    <m:rPr>
                      <m:sty m:val="p"/>
                    </m:rPr>
                    <m:t>d</m:t>
                  </m:r>
                  <m:r>
                    <m:rPr>
                      <m:sty m:val="p"/>
                    </m:rPr>
                    <m:t>o</m:t>
                  </m:r>
                  <m:r>
                    <m:rPr>
                      <m:sty m:val="p"/>
                    </m:rPr>
                    <m:t>p</m:t>
                  </m:r>
                  <m:r>
                    <m:rPr>
                      <m:sty m:val="p"/>
                    </m:rPr>
                    <m:t>t</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r>
            <m:t>β</m:t>
          </m:r>
          <m:d>
            <m:dPr>
              <m:begChr m:val="("/>
              <m:endChr m:val=")"/>
              <m:sepChr m:val=""/>
              <m:grow/>
            </m:dPr>
            <m:e>
              <m:r>
                <m:rPr>
                  <m:sty m:val="p"/>
                </m:rPr>
                <m:t>G</m:t>
              </m:r>
              <m:r>
                <m:rPr>
                  <m:sty m:val="p"/>
                </m:rPr>
                <m:t>C</m:t>
              </m:r>
            </m:e>
          </m:d>
          <m:r>
            <m:rPr>
              <m:sty m:val="p"/>
            </m:rPr>
            <m:t>=</m:t>
          </m:r>
          <m:r>
            <m:rPr>
              <m:sty m:val="p"/>
            </m:rPr>
            <m:t>+</m:t>
          </m:r>
          <m:r>
            <m:t>0</m:t>
          </m:r>
          <m:r>
            <m:rPr>
              <m:sty m:val="p"/>
            </m:rPr>
            <m:t>,</m:t>
          </m:r>
          <m:sSup>
            <m:e>
              <m:r>
                <m:t>990</m:t>
              </m:r>
            </m:e>
            <m:sup>
              <m:r>
                <m:rPr>
                  <m:sty m:val="p"/>
                </m:rPr>
                <m:t>*</m:t>
              </m:r>
              <m:r>
                <m:rPr>
                  <m:sty m:val="p"/>
                </m:rPr>
                <m:t>*</m:t>
              </m:r>
              <m:r>
                <m:rPr>
                  <m:sty m:val="p"/>
                </m:rPr>
                <m:t>*</m:t>
              </m:r>
            </m:sup>
          </m:sSup>
          <m:r>
            <m:rPr>
              <m:sty m:val="p"/>
            </m:rPr>
            <m:t>;</m:t>
          </m:r>
          <m:r>
            <m:t> </m:t>
          </m:r>
          <m:r>
            <m:t>β</m:t>
          </m:r>
          <m:d>
            <m:dPr>
              <m:begChr m:val="("/>
              <m:endChr m:val=")"/>
              <m:sepChr m:val=""/>
              <m:grow/>
            </m:dPr>
            <m:e>
              <m:r>
                <m:rPr>
                  <m:sty m:val="p"/>
                </m:rPr>
                <m:t>S</m:t>
              </m:r>
              <m:r>
                <m:rPr>
                  <m:sty m:val="p"/>
                </m:rPr>
                <m:t>A</m:t>
              </m:r>
            </m:e>
          </m:d>
          <m:r>
            <m:rPr>
              <m:sty m:val="p"/>
            </m:rPr>
            <m:t>=</m:t>
          </m:r>
          <m:r>
            <m:rPr>
              <m:sty m:val="p"/>
            </m:rPr>
            <m:t>+</m:t>
          </m:r>
          <m:r>
            <m:t>0</m:t>
          </m:r>
          <m:r>
            <m:rPr>
              <m:sty m:val="p"/>
            </m:rPr>
            <m:t>,</m:t>
          </m:r>
          <m:sSup>
            <m:e>
              <m:r>
                <m:t>506</m:t>
              </m:r>
            </m:e>
            <m:sup>
              <m:r>
                <m:rPr>
                  <m:sty m:val="p"/>
                </m:rPr>
                <m:t>*</m:t>
              </m:r>
              <m:r>
                <m:rPr>
                  <m:sty m:val="p"/>
                </m:rPr>
                <m:t>*</m:t>
              </m:r>
              <m:r>
                <m:rPr>
                  <m:sty m:val="p"/>
                </m:rPr>
                <m:t>*</m:t>
              </m:r>
            </m:sup>
          </m:sSup>
          <m:r>
            <m:rPr>
              <m:sty m:val="p"/>
            </m:rPr>
            <m:t>;</m:t>
          </m:r>
          <m:r>
            <m:t> </m:t>
          </m:r>
          <m:sSup>
            <m:e>
              <m:r>
                <m:t>R</m:t>
              </m:r>
            </m:e>
            <m:sup>
              <m:r>
                <m:t>2</m:t>
              </m:r>
            </m:sup>
          </m:sSup>
          <m:r>
            <m:rPr>
              <m:sty m:val="p"/>
            </m:rPr>
            <m:t>:</m:t>
          </m:r>
          <m:r>
            <m:t>0</m:t>
          </m:r>
          <m:r>
            <m:rPr>
              <m:sty m:val="p"/>
            </m:rPr>
            <m:t>,</m:t>
          </m:r>
          <m:r>
            <m:t>054</m:t>
          </m:r>
          <m:r>
            <m:rPr>
              <m:sty m:val="p"/>
            </m:rPr>
            <m:t>→</m:t>
          </m:r>
          <m:r>
            <m:t>0</m:t>
          </m:r>
          <m:r>
            <m:rPr>
              <m:sty m:val="p"/>
            </m:rPr>
            <m:t>,</m:t>
          </m:r>
          <m:r>
            <m:t>105</m:t>
          </m:r>
          <m:r>
            <m:rPr>
              <m:sty m:val="p"/>
            </m:rPr>
            <m:t>;</m:t>
          </m:r>
          <m:r>
            <m:t> </m:t>
          </m:r>
          <m:r>
            <m:t>β</m:t>
          </m:r>
          <m:d>
            <m:dPr>
              <m:begChr m:val="("/>
              <m:endChr m:val=")"/>
              <m:sepChr m:val=""/>
              <m:grow/>
            </m:dPr>
            <m:e>
              <m:r>
                <m:rPr>
                  <m:sty m:val="p"/>
                </m:rPr>
                <m:t>B</m:t>
              </m:r>
              <m:r>
                <m:rPr>
                  <m:sty m:val="p"/>
                </m:rPr>
                <m:t>a</m:t>
              </m:r>
              <m:r>
                <m:rPr>
                  <m:sty m:val="p"/>
                </m:rPr>
                <m:t>r</m:t>
              </m:r>
              <m:r>
                <m:rPr>
                  <m:sty m:val="p"/>
                </m:rPr>
                <m:t>r</m:t>
              </m:r>
              <m:r>
                <m:rPr>
                  <m:sty m:val="p"/>
                </m:rPr>
                <m:t>i</m:t>
              </m:r>
              <m:r>
                <m:rPr>
                  <m:sty m:val="p"/>
                </m:rPr>
                <m:t>e</m:t>
              </m:r>
              <m:r>
                <m:rPr>
                  <m:sty m:val="p"/>
                </m:rPr>
                <m:t>r</m:t>
              </m:r>
            </m:e>
          </m:d>
          <m:r>
            <m:rPr>
              <m:sty m:val="p"/>
            </m:rPr>
            <m:t>=</m:t>
          </m:r>
          <m:r>
            <m:rPr>
              <m:sty m:val="p"/>
            </m:rPr>
            <m:t>−</m:t>
          </m:r>
          <m:r>
            <m:t>0</m:t>
          </m:r>
          <m:r>
            <m:rPr>
              <m:sty m:val="p"/>
            </m:rPr>
            <m:t>,</m:t>
          </m:r>
          <m:sSup>
            <m:e>
              <m:r>
                <m:t>076</m:t>
              </m:r>
            </m:e>
            <m:sup>
              <m:r>
                <m:rPr>
                  <m:sty m:val="p"/>
                </m:rPr>
                <m:t>*</m:t>
              </m:r>
              <m:r>
                <m:rPr>
                  <m:sty m:val="p"/>
                </m:rPr>
                <m:t>*</m:t>
              </m:r>
              <m:r>
                <m:rPr>
                  <m:sty m:val="p"/>
                </m:rPr>
                <m:t>*</m:t>
              </m:r>
            </m:sup>
          </m:sSup>
          <m:r>
            <m:rPr>
              <m:sty m:val="p"/>
            </m:rPr>
            <m:t>;</m:t>
          </m:r>
          <m:r>
            <m:t> </m:t>
          </m:r>
          <m:r>
            <m:t>β</m:t>
          </m:r>
          <m:d>
            <m:dPr>
              <m:begChr m:val="("/>
              <m:endChr m:val=")"/>
              <m:sepChr m:val=""/>
              <m:grow/>
            </m:dPr>
            <m:e>
              <m:r>
                <m:rPr>
                  <m:sty m:val="p"/>
                </m:rPr>
                <m:t>B</m:t>
              </m:r>
              <m:r>
                <m:rPr>
                  <m:sty m:val="p"/>
                </m:rPr>
                <m:t>a</m:t>
              </m:r>
              <m:r>
                <m:rPr>
                  <m:sty m:val="p"/>
                </m:rPr>
                <m:t>r</m:t>
              </m:r>
              <m:r>
                <m:rPr>
                  <m:sty m:val="p"/>
                </m:rPr>
                <m:t>r</m:t>
              </m:r>
              <m:r>
                <m:rPr>
                  <m:sty m:val="p"/>
                </m:rPr>
                <m:t>i</m:t>
              </m:r>
              <m:r>
                <m:rPr>
                  <m:sty m:val="p"/>
                </m:rPr>
                <m:t>e</m:t>
              </m:r>
              <m:r>
                <m:rPr>
                  <m:sty m:val="p"/>
                </m:rPr>
                <m:t>r</m:t>
              </m:r>
              <m:r>
                <m:rPr>
                  <m:sty m:val="p"/>
                </m:rPr>
                <m:t>×</m:t>
              </m:r>
              <m:r>
                <m:rPr>
                  <m:sty m:val="p"/>
                </m:rPr>
                <m:t>T</m:t>
              </m:r>
              <m:r>
                <m:rPr>
                  <m:sty m:val="p"/>
                </m:rPr>
                <m:t>e</m:t>
              </m:r>
              <m:r>
                <m:rPr>
                  <m:sty m:val="p"/>
                </m:rPr>
                <m:t>c</m:t>
              </m:r>
              <m:r>
                <m:rPr>
                  <m:sty m:val="p"/>
                </m:rPr>
                <m:t>h</m:t>
              </m:r>
            </m:e>
          </m:d>
          <m:r>
            <m:rPr>
              <m:sty m:val="p"/>
            </m:rPr>
            <m:t>=</m:t>
          </m:r>
          <m:r>
            <m:rPr>
              <m:sty m:val="p"/>
            </m:rPr>
            <m:t>+</m:t>
          </m:r>
          <m:r>
            <m:t>0</m:t>
          </m:r>
          <m:r>
            <m:rPr>
              <m:sty m:val="p"/>
            </m:rPr>
            <m:t>,</m:t>
          </m:r>
          <m:sSup>
            <m:e>
              <m:r>
                <m:t>110</m:t>
              </m:r>
            </m:e>
            <m:sup>
              <m:r>
                <m:rPr>
                  <m:sty m:val="p"/>
                </m:rPr>
                <m:t>*</m:t>
              </m:r>
              <m:r>
                <m:rPr>
                  <m:sty m:val="p"/>
                </m:rPr>
                <m:t>*</m:t>
              </m:r>
              <m:r>
                <m:rPr>
                  <m:sty m:val="p"/>
                </m:rPr>
                <m:t>*</m:t>
              </m:r>
            </m:sup>
          </m:sSup>
        </m:oMath>
      </m:oMathPara>
    </w:p>
    <w:p>
      <w:pPr>
        <w:pStyle w:val="FirstParagraph"/>
      </w:pPr>
      <w:r>
        <w:t xml:space="preserve">Tương tác dương là bằng chứng định lượng cho</w:t>
      </w:r>
      <w:r>
        <w:t xml:space="preserve"> </w:t>
      </w:r>
      <w:r>
        <w:rPr>
          <w:bCs/>
          <w:b/>
        </w:rPr>
        <w:t xml:space="preserve">hiệu ứng lá chắn số</w:t>
      </w:r>
      <w:r>
        <w:t xml:space="preserve">: chấp nhận công nghệ triệt tiêu phần lớn tổn thất năng suất do rào cản thể chế, đúng theo logic khung CDCM.</w:t>
      </w:r>
    </w:p>
    <w:p>
      <w:pPr>
        <w:pStyle w:val="BodyText"/>
      </w:pPr>
      <w:r>
        <w:rPr>
          <w:bCs/>
          <w:b/>
        </w:rPr>
        <w:t xml:space="preserve">Nghiên cứu 2 (P2): chữ U ngược và bẫy vốn lưu động ở doanh nghiệp nhỏ và vừa Trung Quốc.</w:t>
      </w:r>
      <w:r>
        <w:t xml:space="preserve"> </w:t>
      </w:r>
      <w:r>
        <w:t xml:space="preserve">Mẫu</w:t>
      </w:r>
      <w:r>
        <w:t xml:space="preserve"> </w:t>
      </w:r>
      <m:oMath>
        <m:r>
          <m:t>N</m:t>
        </m:r>
        <m:r>
          <m:rPr>
            <m:sty m:val="p"/>
          </m:rPr>
          <m:t>=</m:t>
        </m:r>
        <m:r>
          <m:t>4.290</m:t>
        </m:r>
      </m:oMath>
      <w:r>
        <w:t xml:space="preserve"> </w:t>
      </w:r>
      <w:r>
        <w:t xml:space="preserve">quan sát doanh nghiệp và năm, doanh nghiệp sản xuất nhỏ và vừa (mã ngành ISIC 15–37). Cường độ xuất khẩu trung bình 23,7% (độ lệch chuẩn 28,4%), 18% doanh nghiệp có FSTS vượt 50%. Ước lượng mô hình bậc hai với hiệu ứng cố định ngành và năm:</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i</m:t>
              </m:r>
              <m:r>
                <m:t>t</m:t>
              </m:r>
            </m:sub>
          </m:sSub>
          <m:r>
            <m:rPr>
              <m:sty m:val="p"/>
            </m:rPr>
            <m:t>+</m:t>
          </m:r>
          <m:sSub>
            <m:e>
              <m:r>
                <m:t>β</m:t>
              </m:r>
            </m:e>
            <m:sub>
              <m:r>
                <m:t>2</m:t>
              </m:r>
            </m:sub>
          </m:sSub>
          <m:sSubSup>
            <m:e>
              <m:r>
                <m:rPr>
                  <m:sty m:val="p"/>
                </m:rPr>
                <m:t>F</m:t>
              </m:r>
              <m:r>
                <m:rPr>
                  <m:sty m:val="p"/>
                </m:rPr>
                <m:t>S</m:t>
              </m:r>
              <m:r>
                <m:rPr>
                  <m:sty m:val="p"/>
                </m:rPr>
                <m:t>T</m:t>
              </m:r>
              <m:r>
                <m:rPr>
                  <m:sty m:val="p"/>
                </m:rPr>
                <m:t>S</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sSup>
            <m:e>
              <m:r>
                <m:t>704</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e>
          </m:d>
          <m:r>
            <m:rPr>
              <m:sty m:val="p"/>
            </m:rPr>
            <m:t>;</m:t>
          </m:r>
          <m:r>
            <m:t> </m:t>
          </m:r>
          <m:sSub>
            <m:e>
              <m:r>
                <m:t>β</m:t>
              </m:r>
            </m:e>
            <m:sub>
              <m:r>
                <m:t>2</m:t>
              </m:r>
            </m:sub>
          </m:sSub>
          <m:r>
            <m:rPr>
              <m:sty m:val="p"/>
            </m:rPr>
            <m:t>&lt;</m:t>
          </m:r>
          <m:r>
            <m:t>0</m:t>
          </m:r>
          <m:r>
            <m:t> </m:t>
          </m:r>
          <m:d>
            <m:dPr>
              <m:begChr m:val="("/>
              <m:endChr m:val=")"/>
              <m:sepChr m:val=""/>
              <m:grow/>
            </m:dPr>
            <m:e>
              <m:r>
                <m:t>p</m:t>
              </m:r>
              <m:r>
                <m:rPr>
                  <m:sty m:val="p"/>
                </m:rPr>
                <m:t>&lt;</m:t>
              </m:r>
              <m:r>
                <m:rPr>
                  <m:sty m:val="p"/>
                </m:rPr>
                <m:t>,</m:t>
              </m:r>
              <m:r>
                <m:t>001</m:t>
              </m:r>
            </m:e>
          </m:d>
          <m:r>
            <m:rPr>
              <m:sty m:val="p"/>
            </m:rPr>
            <m:t>;</m:t>
          </m:r>
          <m:r>
            <m:t> </m:t>
          </m:r>
          <m:r>
            <m:rPr>
              <m:sty m:val="p"/>
            </m:rPr>
            <m:t>T</m:t>
          </m:r>
          <m:r>
            <m:rPr>
              <m:sty m:val="p"/>
            </m:rPr>
            <m:t>P</m:t>
          </m:r>
          <m:r>
            <m:rPr>
              <m:sty m:val="p"/>
            </m:rPr>
            <m:t>=</m:t>
          </m:r>
          <m:r>
            <m:t>47</m:t>
          </m:r>
          <m:r>
            <m:rPr>
              <m:sty m:val="p"/>
            </m:rPr>
            <m:t>,</m:t>
          </m:r>
          <m:r>
            <m:t>8</m:t>
          </m:r>
          <m:r>
            <m:rPr>
              <m:sty m:val="p"/>
            </m:rPr>
            <m:t>%</m:t>
          </m:r>
          <m:r>
            <m:t> </m:t>
          </m:r>
          <m:r>
            <m:rPr>
              <m:nor/>
              <m:sty m:val="p"/>
            </m:rPr>
            <m:t>(Lind–Mehlum xác nhận)</m:t>
          </m:r>
        </m:oMath>
      </m:oMathPara>
    </w:p>
    <w:p>
      <w:pPr>
        <w:pStyle w:val="FirstParagraph"/>
      </w:pPr>
      <w:r>
        <w:t xml:space="preserve">Điểm uốn 47,8% sát ngưỡng P5 (48,8%) và trong dải vận hành an toàn 30–60% xuyên suốt luận án. Đóng góp đặc thù của P2 là cơ chế nhánh đi xuống:</w:t>
      </w:r>
      <w:r>
        <w:t xml:space="preserve"> </w:t>
      </w:r>
      <w:r>
        <w:rPr>
          <w:bCs/>
          <w:b/>
        </w:rPr>
        <w:t xml:space="preserve">bẫy vốn lưu động</w:t>
      </w:r>
      <w:r>
        <w:t xml:space="preserve"> </w:t>
      </w:r>
      <w:r>
        <w:t xml:space="preserve">(chu kỳ chuyển đổi tiền mặt kéo dài khi cường độ xuất khẩu cao). P2 là kiểm định độc lập, củng cố độ vững của điểm uốn Trung Quốc trên một lát cắt mẫu khác.</w:t>
      </w:r>
    </w:p>
    <w:p>
      <w:pPr>
        <w:pStyle w:val="BodyText"/>
      </w:pPr>
      <w:r>
        <w:rPr>
          <w:iCs/>
          <w:i/>
        </w:rPr>
        <w:t xml:space="preserve">Ghi chú: P1 và P2 là nghiên cứu nền tảng/bổ trợ, không nằm trong chuỗi bảy nghiên cứu đường cong chính nhưng cung cấp neo thực nghiệm cho hai trụ cột của khung CDCM (lá chắn số ở P1; điểm uốn và cơ chế tài chính ở P2). Số hạng FSTS vắng mặt ở P1 do thiết kế tập trung vào phân tầng năng lực vùng.</w:t>
      </w:r>
    </w:p>
    <w:p>
      <w:r>
        <w:pict>
          <v:rect style="width:0;height:1.5pt" o:hralign="center" o:hrstd="t" o:hr="t"/>
        </w:pict>
      </w:r>
    </w:p>
    <w:bookmarkEnd w:id="129"/>
    <w:bookmarkStart w:id="130" w:name="X92626cf16d7ade7145561606a3bab8b2a583963"/>
    <w:p>
      <w:pPr>
        <w:pStyle w:val="Heading4"/>
      </w:pPr>
      <w:r>
        <w:t xml:space="preserve">3.4.5.9 Nghiên cứu tam giác hóa đã công bố: chương sách quản trị cấp cao Ấn Độ (Đỗ và Phan, 2025)</w:t>
      </w:r>
    </w:p>
    <w:p>
      <w:pPr>
        <w:pStyle w:val="FirstParagraph"/>
      </w:pPr>
      <w:r>
        <w:t xml:space="preserve">Một nghiên cứu đã xuất bản của nhóm tác giả (Đỗ và Phan, 2025, IntechOpen, DOI 10.5772/intechopen.1011012) cung cấp bằng chứng tam giác hóa độc lập cho bối cảnh Ấn Độ, tiếp cận từ khung lý thuyết và đặc tả</w:t>
      </w:r>
      <w:r>
        <w:t xml:space="preserve"> </w:t>
      </w:r>
      <w:r>
        <w:rPr>
          <w:bCs/>
          <w:b/>
        </w:rPr>
        <w:t xml:space="preserve">khác hẳn</w:t>
      </w:r>
      <w:r>
        <w:t xml:space="preserve"> </w:t>
      </w:r>
      <w:r>
        <w:t xml:space="preserve">Nghiên cứu 9. Vì hội đồng không thể truy cập toàn văn ấn phẩm này, thiết kế của nó được tóm tắt tại đây để luận án tự chứa.</w:t>
      </w:r>
    </w:p>
    <w:p>
      <w:pPr>
        <w:numPr>
          <w:ilvl w:val="0"/>
          <w:numId w:val="1013"/>
        </w:numPr>
        <w:pStyle w:val="Compact"/>
      </w:pPr>
      <w:r>
        <w:rPr>
          <w:bCs/>
          <w:b/>
        </w:rPr>
        <w:t xml:space="preserve">Biến phụ thuộc</w:t>
      </w:r>
      <w:r>
        <w:t xml:space="preserve">: tỷ suất lợi nhuận trên doanh thu (ROS), trung bình 30,34% (miền −660% đến 98,166%), khác với biến năng suất lao động dạng logarit của Nghiên cứu 9.</w:t>
      </w:r>
    </w:p>
    <w:p>
      <w:pPr>
        <w:numPr>
          <w:ilvl w:val="0"/>
          <w:numId w:val="1013"/>
        </w:numPr>
        <w:pStyle w:val="Compact"/>
      </w:pPr>
      <w:r>
        <w:rPr>
          <w:bCs/>
          <w:b/>
        </w:rPr>
        <w:t xml:space="preserve">Biến độc lập</w:t>
      </w:r>
      <w:r>
        <w:t xml:space="preserve">: mức độ quốc tế hóa (DOI),</w:t>
      </w:r>
      <w:r>
        <w:t xml:space="preserve"> </w:t>
      </w:r>
      <w:r>
        <w:rPr>
          <w:bCs/>
          <w:b/>
        </w:rPr>
        <w:t xml:space="preserve">đặc tả tuyến tính</w:t>
      </w:r>
      <w:r>
        <w:t xml:space="preserve"> </w:t>
      </w:r>
      <w:r>
        <w:t xml:space="preserve">(không bậc hai), trung bình 5,6% (miền 0–100%).</w:t>
      </w:r>
    </w:p>
    <w:p>
      <w:pPr>
        <w:numPr>
          <w:ilvl w:val="0"/>
          <w:numId w:val="1013"/>
        </w:numPr>
        <w:pStyle w:val="Compact"/>
      </w:pPr>
      <w:r>
        <w:rPr>
          <w:bCs/>
          <w:b/>
        </w:rPr>
        <w:t xml:space="preserve">Khung lý thuyết</w:t>
      </w:r>
      <w:r>
        <w:t xml:space="preserve">: mô hình Uppsala (Johanson và Vahlne, 1977) kết hợp lý thuyết thượng tầng quản trị (Upper Echelons; Hambrick và Mason, 1984), khác với khung CDCM của Nghiên cứu 9.</w:t>
      </w:r>
    </w:p>
    <w:p>
      <w:pPr>
        <w:numPr>
          <w:ilvl w:val="0"/>
          <w:numId w:val="1013"/>
        </w:numPr>
        <w:pStyle w:val="Compact"/>
      </w:pPr>
      <w:r>
        <w:rPr>
          <w:bCs/>
          <w:b/>
        </w:rPr>
        <w:t xml:space="preserve">Biến điều tiết</w:t>
      </w:r>
      <w:r>
        <w:t xml:space="preserve">: kinh nghiệm nhà quản trị cấp cao (số năm) và giới tính nữ của nhà quản trị cấp cao.</w:t>
      </w:r>
    </w:p>
    <w:p>
      <w:pPr>
        <w:numPr>
          <w:ilvl w:val="0"/>
          <w:numId w:val="1013"/>
        </w:numPr>
        <w:pStyle w:val="Compact"/>
      </w:pPr>
      <w:r>
        <w:rPr>
          <w:bCs/>
          <w:b/>
        </w:rPr>
        <w:t xml:space="preserve">Phương pháp ước lượng</w:t>
      </w:r>
      <w:r>
        <w:t xml:space="preserve">: bình phương nhỏ nhất tổng quát khả thi (FGLS) trên dữ liệu bảng, xử lý phương sai thay đổi.</w:t>
      </w:r>
    </w:p>
    <w:p>
      <w:pPr>
        <w:numPr>
          <w:ilvl w:val="0"/>
          <w:numId w:val="1013"/>
        </w:numPr>
        <w:pStyle w:val="Compact"/>
      </w:pPr>
      <w:r>
        <w:rPr>
          <w:bCs/>
          <w:b/>
        </w:rPr>
        <w:t xml:space="preserve">Mẫu</w:t>
      </w:r>
      <w:r>
        <w:t xml:space="preserve">:</w:t>
      </w:r>
      <w:r>
        <w:t xml:space="preserve"> </w:t>
      </w:r>
      <m:oMath>
        <m:r>
          <m:t>N</m:t>
        </m:r>
        <m:r>
          <m:rPr>
            <m:sty m:val="p"/>
          </m:rPr>
          <m:t>=</m:t>
        </m:r>
        <m:r>
          <m:t>760</m:t>
        </m:r>
      </m:oMath>
      <w:r>
        <w:t xml:space="preserve"> </w:t>
      </w:r>
      <w:r>
        <w:t xml:space="preserve">quan sát doanh nghiệp và năm = 380 doanh nghiệp × 2 đợt (mẫu con bảng cân đối của WBES Ấn Độ), khác với mẫu đầy đủ ~10.000 doanh nghiệp/đợt của Nghiên cứu 9.</w:t>
      </w:r>
    </w:p>
    <w:p>
      <w:pPr>
        <w:pStyle w:val="FirstParagraph"/>
      </w:pPr>
      <m:oMathPara>
        <m:oMathParaPr>
          <m:jc m:val="center"/>
        </m:oMathParaPr>
        <m:oMath>
          <m:sSub>
            <m:e>
              <m:r>
                <m:rPr>
                  <m:sty m:val="p"/>
                </m:rPr>
                <m:t>R</m:t>
              </m:r>
              <m:r>
                <m:rPr>
                  <m:sty m:val="p"/>
                </m:rPr>
                <m:t>O</m:t>
              </m:r>
              <m:r>
                <m:rPr>
                  <m:sty m:val="p"/>
                </m:rPr>
                <m:t>S</m:t>
              </m:r>
            </m:e>
            <m:sub>
              <m:r>
                <m:t>i</m:t>
              </m:r>
              <m:r>
                <m:t>t</m:t>
              </m:r>
            </m:sub>
          </m:sSub>
          <m:r>
            <m:rPr>
              <m:sty m:val="p"/>
            </m:rPr>
            <m:t>=</m:t>
          </m:r>
          <m:r>
            <m:t>α</m:t>
          </m:r>
          <m:r>
            <m:rPr>
              <m:sty m:val="p"/>
            </m:rPr>
            <m:t>+</m:t>
          </m:r>
          <m:sSub>
            <m:e>
              <m:r>
                <m:t>β</m:t>
              </m:r>
            </m:e>
            <m:sub>
              <m:r>
                <m:t>1</m:t>
              </m:r>
            </m:sub>
          </m:sSub>
          <m:sSub>
            <m:e>
              <m:r>
                <m:rPr>
                  <m:sty m:val="p"/>
                </m:rPr>
                <m:t>D</m:t>
              </m:r>
              <m:r>
                <m:rPr>
                  <m:sty m:val="p"/>
                </m:rPr>
                <m:t>O</m:t>
              </m:r>
              <m:r>
                <m:rPr>
                  <m:sty m:val="p"/>
                </m:rPr>
                <m:t>I</m:t>
              </m:r>
            </m:e>
            <m:sub>
              <m:r>
                <m:t>i</m:t>
              </m:r>
              <m:r>
                <m:t>t</m:t>
              </m:r>
            </m:sub>
          </m:sSub>
          <m:r>
            <m:rPr>
              <m:sty m:val="p"/>
            </m:rPr>
            <m:t>+</m:t>
          </m:r>
          <m:sSub>
            <m:e>
              <m:r>
                <m:t>β</m:t>
              </m:r>
            </m:e>
            <m:sub>
              <m:r>
                <m:t>2</m:t>
              </m:r>
            </m:sub>
          </m:sSub>
          <m:d>
            <m:dPr>
              <m:begChr m:val="("/>
              <m:endChr m:val=")"/>
              <m:sepChr m:val=""/>
              <m:grow/>
            </m:dPr>
            <m:e>
              <m:sSub>
                <m:e>
                  <m:r>
                    <m:rPr>
                      <m:sty m:val="p"/>
                    </m:rPr>
                    <m:t>D</m:t>
                  </m:r>
                  <m:r>
                    <m:rPr>
                      <m:sty m:val="p"/>
                    </m:rPr>
                    <m:t>O</m:t>
                  </m:r>
                  <m:r>
                    <m:rPr>
                      <m:sty m:val="p"/>
                    </m:rPr>
                    <m:t>I</m:t>
                  </m:r>
                </m:e>
                <m:sub>
                  <m:r>
                    <m:t>i</m:t>
                  </m:r>
                  <m:r>
                    <m:t>t</m:t>
                  </m:r>
                </m:sub>
              </m:sSub>
              <m:r>
                <m:rPr>
                  <m:sty m:val="p"/>
                </m:rPr>
                <m:t>×</m:t>
              </m:r>
              <m:sSub>
                <m:e>
                  <m:r>
                    <m:rPr>
                      <m:sty m:val="p"/>
                    </m:rPr>
                    <m:t>M</m:t>
                  </m:r>
                  <m:r>
                    <m:rPr>
                      <m:sty m:val="p"/>
                    </m:rPr>
                    <m:t>g</m:t>
                  </m:r>
                  <m:r>
                    <m:rPr>
                      <m:sty m:val="p"/>
                    </m:rPr>
                    <m:t>r</m:t>
                  </m:r>
                  <m:r>
                    <m:rPr>
                      <m:sty m:val="p"/>
                    </m:rPr>
                    <m:t>E</m:t>
                  </m:r>
                  <m:r>
                    <m:rPr>
                      <m:sty m:val="p"/>
                    </m:rPr>
                    <m:t>x</m:t>
                  </m:r>
                  <m:r>
                    <m:rPr>
                      <m:sty m:val="p"/>
                    </m:rPr>
                    <m:t>p</m:t>
                  </m:r>
                </m:e>
                <m:sub>
                  <m:r>
                    <m:t>i</m:t>
                  </m:r>
                  <m:r>
                    <m:t>t</m:t>
                  </m:r>
                </m:sub>
              </m:sSub>
            </m:e>
          </m:d>
          <m:r>
            <m:rPr>
              <m:sty m:val="p"/>
            </m:rPr>
            <m:t>+</m:t>
          </m:r>
          <m:sSub>
            <m:e>
              <m:r>
                <m:t>β</m:t>
              </m:r>
            </m:e>
            <m:sub>
              <m:r>
                <m:t>3</m:t>
              </m:r>
            </m:sub>
          </m:sSub>
          <m:d>
            <m:dPr>
              <m:begChr m:val="("/>
              <m:endChr m:val=")"/>
              <m:sepChr m:val=""/>
              <m:grow/>
            </m:dPr>
            <m:e>
              <m:sSub>
                <m:e>
                  <m:r>
                    <m:rPr>
                      <m:sty m:val="p"/>
                    </m:rPr>
                    <m:t>D</m:t>
                  </m:r>
                  <m:r>
                    <m:rPr>
                      <m:sty m:val="p"/>
                    </m:rPr>
                    <m:t>O</m:t>
                  </m:r>
                  <m:r>
                    <m:rPr>
                      <m:sty m:val="p"/>
                    </m:rPr>
                    <m:t>I</m:t>
                  </m:r>
                </m:e>
                <m:sub>
                  <m:r>
                    <m:t>i</m:t>
                  </m:r>
                  <m:r>
                    <m:t>t</m:t>
                  </m:r>
                </m:sub>
              </m:sSub>
              <m:r>
                <m:rPr>
                  <m:sty m:val="p"/>
                </m:rPr>
                <m:t>×</m:t>
              </m:r>
              <m:sSub>
                <m:e>
                  <m:r>
                    <m:rPr>
                      <m:sty m:val="p"/>
                    </m:rPr>
                    <m:t>M</m:t>
                  </m:r>
                  <m:r>
                    <m:rPr>
                      <m:sty m:val="p"/>
                    </m:rPr>
                    <m:t>g</m:t>
                  </m:r>
                  <m:r>
                    <m:rPr>
                      <m:sty m:val="p"/>
                    </m:rPr>
                    <m:t>r</m:t>
                  </m:r>
                  <m:r>
                    <m:rPr>
                      <m:sty m:val="p"/>
                    </m:rPr>
                    <m:t>F</m:t>
                  </m:r>
                  <m:r>
                    <m:rPr>
                      <m:sty m:val="p"/>
                    </m:rPr>
                    <m:t>e</m:t>
                  </m:r>
                  <m:r>
                    <m:rPr>
                      <m:sty m:val="p"/>
                    </m:rPr>
                    <m:t>m</m:t>
                  </m:r>
                </m:e>
                <m:sub>
                  <m:r>
                    <m:t>i</m:t>
                  </m:r>
                  <m:r>
                    <m:t>t</m:t>
                  </m:r>
                </m:sub>
              </m:sSub>
            </m:e>
          </m:d>
          <m:r>
            <m:rPr>
              <m:sty m:val="p"/>
            </m:rPr>
            <m:t>+</m:t>
          </m:r>
          <m:r>
            <m:rPr>
              <m:sty m:val="b"/>
            </m:rPr>
            <m:t>γ</m:t>
          </m:r>
          <m:sSub>
            <m:e>
              <m:r>
                <m:rPr>
                  <m:sty m:val="b"/>
                </m:rPr>
                <m:t>X</m:t>
              </m:r>
            </m:e>
            <m:sub>
              <m:r>
                <m:t>i</m:t>
              </m:r>
              <m:r>
                <m:t>t</m:t>
              </m:r>
            </m:sub>
          </m:sSub>
          <m:r>
            <m:rPr>
              <m:sty m:val="p"/>
            </m:rPr>
            <m:t>+</m:t>
          </m:r>
          <m:sSub>
            <m:e>
              <m:r>
                <m:t>u</m:t>
              </m:r>
            </m:e>
            <m:sub>
              <m:r>
                <m:t>i</m:t>
              </m:r>
              <m:r>
                <m:t>t</m:t>
              </m:r>
            </m:sub>
          </m:sSub>
        </m:oMath>
      </m:oMathPara>
    </w:p>
    <w:p>
      <w:pPr>
        <w:pStyle w:val="FirstParagraph"/>
      </w:pPr>
      <w:r>
        <w:t xml:space="preserve">Kết quả: quốc tế hóa có hiệu ứng tuyến tính</w:t>
      </w:r>
      <w:r>
        <w:t xml:space="preserve"> </w:t>
      </w:r>
      <w:r>
        <w:rPr>
          <w:bCs/>
          <w:b/>
        </w:rPr>
        <w:t xml:space="preserve">âm</w:t>
      </w:r>
      <w:r>
        <w:t xml:space="preserve"> </w:t>
      </w:r>
      <w:r>
        <w:t xml:space="preserve">lên hiệu quả (</w:t>
      </w:r>
      <m:oMath>
        <m:sSub>
          <m:e>
            <m:acc>
              <m:accPr>
                <m:chr m:val="̂"/>
              </m:accPr>
              <m:e>
                <m:r>
                  <m:t>β</m:t>
                </m:r>
              </m:e>
            </m:acc>
          </m:e>
          <m:sub>
            <m:r>
              <m:t>1</m:t>
            </m:r>
          </m:sub>
        </m:sSub>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kinh nghiệm quản trị điều tiết</w:t>
      </w:r>
      <w:r>
        <w:t xml:space="preserve"> </w:t>
      </w:r>
      <w:r>
        <w:rPr>
          <w:bCs/>
          <w:b/>
        </w:rPr>
        <w:t xml:space="preserve">dương</w:t>
      </w:r>
      <w:r>
        <w:t xml:space="preserve"> </w:t>
      </w:r>
      <w:r>
        <w:t xml:space="preserve">(</w:t>
      </w:r>
      <m:oMath>
        <m:sSub>
          <m:e>
            <m:acc>
              <m:accPr>
                <m:chr m:val="̂"/>
              </m:accPr>
              <m:e>
                <m:r>
                  <m:t>β</m:t>
                </m:r>
              </m:e>
            </m:acc>
          </m:e>
          <m:sub>
            <m:r>
              <m:t>2</m:t>
            </m:r>
          </m:sub>
        </m:sSub>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nữ quản trị cấp cao điều tiết</w:t>
      </w:r>
      <w:r>
        <w:t xml:space="preserve"> </w:t>
      </w:r>
      <w:r>
        <w:rPr>
          <w:bCs/>
          <w:b/>
        </w:rPr>
        <w:t xml:space="preserve">dương</w:t>
      </w:r>
      <w:r>
        <w:t xml:space="preserve"> </w:t>
      </w:r>
      <w:r>
        <w:t xml:space="preserve">(</w:t>
      </w:r>
      <m:oMath>
        <m:sSub>
          <m:e>
            <m:acc>
              <m:accPr>
                <m:chr m:val="̂"/>
              </m:accPr>
              <m:e>
                <m:r>
                  <m:t>β</m:t>
                </m:r>
              </m:e>
            </m:acc>
          </m:e>
          <m:sub>
            <m:r>
              <m:t>3</m:t>
            </m:r>
          </m:sub>
        </m:sSub>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Ba mệnh đề đều được ủng hộ.</w:t>
      </w:r>
    </w:p>
    <w:p>
      <w:pPr>
        <w:pStyle w:val="BodyText"/>
      </w:pPr>
      <w:r>
        <w:rPr>
          <w:iCs/>
          <w:i/>
        </w:rPr>
        <w:t xml:space="preserve">Ghi chú: Đây là ấn phẩm đã công bố (prior work), không phải đóng góp mới của luận án. Chồng lấn khái niệm, thực nghiệm và phương pháp với Nghiên cứu 9 gần bằng không (biến phụ thuộc, đặc tả, khung lý thuyết, biến điều tiết, mẫu đều khác); luận án trích dẫn book chapter như bằng chứng tam giác hóa và như công trình tiền nhiệm được công bố minh bạch. Chi tiết khác biệt:</w:t>
      </w:r>
      <w:r>
        <w:rPr>
          <w:iCs/>
          <w:i/>
        </w:rPr>
        <w:t xml:space="preserve"> </w:t>
      </w:r>
      <w:r>
        <w:rPr>
          <w:rStyle w:val="VerbatimChar"/>
          <w:iCs/>
          <w:i/>
        </w:rPr>
        <w:t xml:space="preserve">p9_india/BOOK_CHAPTER_DIFFERENTIATION.md</w:t>
      </w:r>
      <w:r>
        <w:rPr>
          <w:iCs/>
          <w:i/>
        </w:rPr>
        <w:t xml:space="preserve">. Kết quả được tham chiếu tại Chương 4, Mục 4.8.4.</w:t>
      </w:r>
    </w:p>
    <w:bookmarkEnd w:id="130"/>
    <w:bookmarkEnd w:id="131"/>
    <w:bookmarkStart w:id="132" w:name="sai-số-chuẩn"/>
    <w:p>
      <w:pPr>
        <w:pStyle w:val="Heading3"/>
      </w:pPr>
      <w:r>
        <w:t xml:space="preserve">3.4.6 Sai số chuẩn</w:t>
      </w:r>
    </w:p>
    <w:p>
      <w:pPr>
        <w:pStyle w:val="FirstParagraph"/>
      </w:pPr>
      <w:r>
        <w:t xml:space="preserve">Tất cả các mô hình đều sử dụng HC1/HC3 sai số chuẩn vững (Long &amp; Ervin, 2000; White, 1980) để xử lý phương sai thay đổi. Đối với multi-country, bổ sung clustered SE theo country.</w:t>
      </w:r>
    </w:p>
    <w:bookmarkEnd w:id="132"/>
    <w:bookmarkStart w:id="133"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Cụ thể, mọi mô hình trong khung đa quốc gia đều mang hiệu ứng cố định hai chiều theo nền kinh tế và theo năm, cùng sai số chuẩn vững phân cụm theo nền kinh tế theo hiệu chỉnh CRV1. Cấp phân cụm theo nền kinh tế được chọn vì thiết kế chọn mẫu phân tầng của bộ công cụ tạo tương quan nội cụm giữa các doanh nghiệp trong cùng một nền, và vì các cú sốc thể chế cùng chính sách tác động đồng thời lên nhiều doanh nghiệp ở cùng cấp này.</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mô hình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133"/>
    <w:bookmarkEnd w:id="134"/>
    <w:bookmarkStart w:id="146" w:name="kiểm-định-độ-vững"/>
    <w:p>
      <w:pPr>
        <w:pStyle w:val="Heading2"/>
      </w:pPr>
      <w:r>
        <w:t xml:space="preserve">3.5 Kiểm định độ vững</w:t>
      </w:r>
    </w:p>
    <w:bookmarkStart w:id="135" w:name="thay-đổi-thước-đo"/>
    <w:p>
      <w:pPr>
        <w:pStyle w:val="Heading3"/>
      </w:pPr>
      <w:r>
        <w:t xml:space="preserve">3.5.1 Thay đổi thước đo</w:t>
      </w:r>
    </w:p>
    <w:p>
      <w:pPr>
        <w:pStyle w:val="FirstParagraph"/>
      </w:pPr>
      <w:r>
        <w:t xml:space="preserve">Lớp độ vững thứ nhất hoán đổi thước đo các biến trọng tâm. Biến phụ thuộc năng suất lao động dạng logarit được thay bằng tỷ suất lợi nhuận trên doanh thu, tăng trưởng doanh thu và tăng trưởng việc làm để kiểm tra liệu hình dạng quan hệ có phụ thuộc vào một định nghĩa hiệu quả duy nhất hay không. Biến độc lập cường độ xuất khẩu được thay bằng trạng thái xuất khẩu nhị phân nhằm phân biệt hiệu ứng ở biên tham gia khỏi hiệu ứng ở biên cường độ. Biến điều tiết số được hoán đổi giữa biến thể chỉ gồm Bậc 1 và biến thể gồm cả Bậc 2 trên mẫu con từ năm 2024 trở đi, nơi các chỉ báo số phong phú hơn đã sẵn có.</w:t>
      </w:r>
    </w:p>
    <w:bookmarkEnd w:id="135"/>
    <w:bookmarkStart w:id="136" w:name="mẫu-phụ"/>
    <w:p>
      <w:pPr>
        <w:pStyle w:val="Heading3"/>
      </w:pPr>
      <w:r>
        <w:t xml:space="preserve">3.5.2 Mẫu phụ</w:t>
      </w:r>
    </w:p>
    <w:p>
      <w:pPr>
        <w:pStyle w:val="FirstParagraph"/>
      </w:pPr>
      <w:r>
        <w:t xml:space="preserve">Lớp thứ hai giới hạn mẫu để loại trừ các giải thích thay thế dựa trên thành phần mẫu. Các mẫu con gồm: loại doanh nghiệp siêu nhỏ dưới năm lao động, chỉ giữ doanh nghiệp vừa và nhỏ, chỉ giữ ngành chế biến chế tạo, chỉ giữ doanh nghiệp có xuất khẩu với cường độ dương, và tách theo từng chế độ trong sáu chế độ thể chế ICRV. Việc điểm uốn và dấu của độ cong được bảo toàn qua các mẫu con này là bằng chứng rằng quan hệ trọng tâm không phải tạo tác của một nhóm doanh nghiệp đặc thù.</w:t>
      </w:r>
    </w:p>
    <w:bookmarkEnd w:id="136"/>
    <w:bookmarkStart w:id="137" w:name="giá-trị-ngoại-lai"/>
    <w:p>
      <w:pPr>
        <w:pStyle w:val="Heading3"/>
      </w:pPr>
      <w:r>
        <w:t xml:space="preserve">3.5.3 Giá trị ngoại lai</w:t>
      </w:r>
    </w:p>
    <w:p>
      <w:pPr>
        <w:pStyle w:val="FirstParagraph"/>
      </w:pPr>
      <w:r>
        <w:t xml:space="preserve">Lớp thứ ba kiểm soát ảnh hưởng của giá trị ngoại lai bằng cách cắt đuôi năng suất lao động và số lao động tại các ngưỡng phân vị 1 và 99, rồi lặp lại tại ngưỡng 5 và 95, áp dụng riêng trong từng cặp nền kinh tế và năm để tránh nhầm chênh lệch mặt bằng giữa các nền kinh tế với giá trị ngoại lai thực.</w:t>
      </w:r>
    </w:p>
    <w:bookmarkEnd w:id="137"/>
    <w:bookmarkStart w:id="138" w:name="đa-cộng-tuyến-và-phương-sai-thay-đổi"/>
    <w:p>
      <w:pPr>
        <w:pStyle w:val="Heading3"/>
      </w:pPr>
      <w:r>
        <w:t xml:space="preserve">3.5.4 Đa cộng tuyến và phương sai thay đổi</w:t>
      </w:r>
    </w:p>
    <w:p>
      <w:pPr>
        <w:pStyle w:val="FirstParagraph"/>
      </w:pPr>
      <w:r>
        <w:t xml:space="preserve">Hai mối lo của hồi quy có số hạng phi tuyến và tương tác là đa cộng tuyến và phương sai sai số thay đổi. Để xử lý đa cộng tuyến giữa số hạng bậc nhất và số hạng bậc hai của cường độ xuất khẩu, cũng như giữa các thành phần của số hạng tương tác, biến cường độ xuất khẩu được căn giữa quanh trung bình mẫu trước khi lập bình phương và lập tương tác; căn giữa làm giảm mạnh tương quan giả tạo giữa một biến và bình phương của chính nó mà không làm thay đổi hệ số bậc hai hay vị trí điểm uốn. Hệ số phóng đại phương sai được tính cho mọi mô hình với ngưỡng cảnh báo dưới năm (Hair et al., 2019); trong các mô hình đã căn giữa, hệ số phóng đại phương sai nằm an toàn dưới ngưỡng này, xác nhận rằng các ước lượng hệ số không bị bất ổn do cộng tuyến. Đối với phương sai sai số thay đổi, kiểm định Breusch và Pagan (1979) được dùng để phát hiện, và quan trọng hơn, mọi suy luận đều dựa trên sai số chuẩn vững với phương sai thay đổi và được gom cụm theo nền kinh tế, do đó kết luận thống kê có hiệu lực ngay cả khi phương sai sai số không đồng nhất, một cấu trúc sai số phù hợp với thiết kế dữ liệu gộp nhiều nền kinh tế đã trình bày ở Mục 3.4.6.</w:t>
      </w:r>
    </w:p>
    <w:bookmarkEnd w:id="138"/>
    <w:bookmarkStart w:id="139" w:name="phân-tích-độ-nhạy-cho-phân-tích-tổng-hợp"/>
    <w:p>
      <w:pPr>
        <w:pStyle w:val="Heading3"/>
      </w:pPr>
      <w:r>
        <w:t xml:space="preserve">3.5.5 Phân tích độ nhạy cho phân tích tổng hợp</w:t>
      </w:r>
    </w:p>
    <w:p>
      <w:pPr>
        <w:pStyle w:val="FirstParagraph"/>
      </w:pPr>
      <w:r>
        <w:t xml:space="preserve">Khung phân tích tổng hợp (P6) áp dụng một bộ kiểm định độ nhạy riêng phù hợp với cấu trúc dữ liệu ba tầng. Kiểm định bỏ một nghiên cứu lần lượt loại từng nghiên cứu khỏi mẫu và tái ước lượng cỡ ảnh hưởng gộp, nhằm bảo đảm kết luận không bị chi phối bởi một nghiên cứu đơn lẻ có trọng số lớn hay giá trị cực đoan. Lệch lạc công bố được đánh giá bằng nhiều công cụ bổ trợ: kiểm tra trực quan biểu đồ phễu, kiểm định bất đối xứng của Egger, và thủ tục cắt và điền của Duval và Tweedie (2000) để ước lượng và hiệu chỉnh số nghiên cứu khuyết có thể có. Ngoài ra, cấu trúc ba tầng cho phép so sánh mô hình ba tầng với mô hình hai tầng truyền thống nhằm kiểm tra xem việc tách riêng phương sai trong nội bộ nghiên cứu khỏi phương sai giữa các nghiên cứu có thực sự cải thiện độ phù hợp hay không, đồng thời cho phép phân rã</w:t>
      </w:r>
      <w:r>
        <w:t xml:space="preserve"> </w:t>
      </w:r>
      <m:oMath>
        <m:sSup>
          <m:e>
            <m:r>
              <m:t>I</m:t>
            </m:r>
          </m:e>
          <m:sup>
            <m:r>
              <m:t>2</m:t>
            </m:r>
          </m:sup>
        </m:sSup>
      </m:oMath>
      <w:r>
        <w:t xml:space="preserve"> </w:t>
      </w:r>
      <w:r>
        <w:t xml:space="preserve">thành thành phần trong và giữa nghiên cứu để định vị nguồn dị biệt. Kết hợp các kiểm định này bảo đảm rằng cỡ ảnh hưởng gộp và kết luận điều tiết theo ICRV là vững trước cả lựa chọn mẫu nghiên cứu lẫn giả định cấu trúc phương sai.</w:t>
      </w:r>
    </w:p>
    <w:bookmarkEnd w:id="139"/>
    <w:bookmarkStart w:id="140"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mô hình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Bậc 1 và biến thể Bậc 1 cộng Bậc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phân tích tổng hợp,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140"/>
    <w:bookmarkStart w:id="141"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quốc tế hóa và hiệu quả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Cần phân biệt nội sinh của năng lực, vốn được xử lý bằng biến công cụ nói trên, với một mối đe dọa nhận dạng riêng là tự chọn lọc tham gia xuất khẩu: theo logic Melitz (2003), doanh nghiệp năng suất cao tự chọn vào xuất khẩu, nên hệ số FSTS có thể trộn lẫn hiệu ứng nhân quả của quốc tế hóa với sự chọn lọc có sẵn. Luận án khoanh vùng đe dọa này theo ba cách: (i) hiệu ứng cố định hai chiều cùng chuẩn hóa within country–year hấp thụ chênh lệch mức năng suất cố định giữa doanh nghiệp xuất khẩu và không xuất khẩu ở tầng nền kinh tế–năm; (ii) đối tượng suy luận trọng tâm là hình dạng phi tuyến (độ cong và vị trí điểm uốn) chứ không chỉ là mức hệ số, mà một câu chuyện chọn lọc mức đơn thuần khó tạo ra một cực đại nội vùng có hệ thống; và (iii) nghiên cứu Singapore (P4) bổ sung hiệu chỉnh chọn lọc kiểu Heckman với tỷ số Mills nghịch đảo như một kiểm tra cục bộ. Tuy vậy, do hiệu chỉnh chọn lọc tham gia không được thực hiện đồng bộ ở mọi nghiên cứu thành phần, luận án thừa nhận đây là một ranh giới suy luận còn lại của thiết kế lát cắt ngang. Một kiểm tra chọn lọc kiểu Heckman ở cấp gộp 50 nền (Mục 4.6.8) củng cố thêm: khi thêm tỷ số Mills nghịch đảo từ probit tham gia xuất khẩu, độ cong chữ U ngược và điểm uốn gần như không đổi và bản thân tỷ số Mills không có ý nghĩa, cho thấy thiên lệch tự chọn lọc trong độ cong ước lượng là không đáng kể trong miền dữ liệu.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phân tích tổng hợp và phổ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lược đồ thay vì thay đổi thực chất (ví dụ mức R&amp;D đo được ở một số nhóm). Luận án giảm thiểu rủi ro này bằng hiệu ứng cố định năm/đợt, chuẩn hóa within country–year, và kiểm tra độ nhạy với biến thể thước đo (Mục 3.5.1). Luận án chưa thực hiện kiểm định bất biến đo lường đầy đủ (full measurement invariance), nhưng một kiểm tra bất biến bộ phận (Mục 4.6.8) cho thấy các mục lõi của TCI và DAI hiện diện cho khoảng</w:t>
      </w:r>
      <w:r>
        <w:t xml:space="preserve"> </w:t>
      </w:r>
      <m:oMath>
        <m:r>
          <m:t>99</m:t>
        </m:r>
        <m:r>
          <m:rPr>
            <m:sty m:val="p"/>
          </m:rPr>
          <m:t>%</m:t>
        </m:r>
      </m:oMath>
      <w:r>
        <w:t xml:space="preserve"> </w:t>
      </w:r>
      <w:r>
        <w:t xml:space="preserve">doanh nghiệp ở cả ba thế hệ lược đồ và thay đổi trung bình theo thời gian phản ánh khuếch tán số thực chất chứ không phải đứt gãy lược đồ; do đó các so sánh xuyên-lược đồ trên các mục lõi này là có cơ sở, dù vẫn cần đọc thận trọng.</w:t>
      </w:r>
    </w:p>
    <w:bookmarkEnd w:id="141"/>
    <w:bookmarkStart w:id="142"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Bậc 1 không khác biệt thống kê với không, một kết quả độ vững củng cố cách diễn giải tính lỗi thời của biến đại diện Bậc 1 trong môi trường số đã lan tỏa gần phổ quát.</w:t>
      </w:r>
    </w:p>
    <w:bookmarkEnd w:id="142"/>
    <w:bookmarkStart w:id="143"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143"/>
    <w:bookmarkStart w:id="144" w:name="Xd3efa1c9933abf55f73b5b64d09df1e1f7d5dcd"/>
    <w:p>
      <w:pPr>
        <w:pStyle w:val="Heading3"/>
      </w:pPr>
      <w:r>
        <w:t xml:space="preserve">3.5.6.3 Tính nhất quán về dấu qua nhiều mô hình như nguyên tắc suy luận nền tảng</w:t>
      </w:r>
    </w:p>
    <w:p>
      <w:pPr>
        <w:pStyle w:val="FirstParagraph"/>
      </w:pPr>
      <w:r>
        <w:t xml:space="preserve">Triết lý suy luận xuyên suốt khung độ vững là neo kết luận thực chất vào tính nhất quán về dấu của ước lượng trọng tâm qua nhiều mô hình, chứ không vào ý nghĩa của một hệ số đơn lẻ, vì các bảng độ vững kiểm tra các quan ngại nhận diện khác nhau thay vì lặp lại cùng một giả thuyết. Nguyên tắc này được minh họa rõ nhất ở nghiên cứu đảo nhỏ Thái Bình Dương, nơi hệ số cường độ xuất khẩu giữ dấu âm nhất quán qua mọi mô hình: âm và có ý nghĩa rất cao trong mô hình hiệu ứng cố định nền kinh tế và năm với hệ số −1,339, vẫn âm và có ý nghĩa khi chỉ giữ hiệu ứng cố định năm hoặc khi bỏ toàn bộ biến kiểm soát, và chỉ mất ý nghĩa ở mẫu con chỉ gồm doanh nghiệp xuất khẩu vốn quá nhỏ. Suy luận về gánh nặng quốc tế hóa bắt buộc do đó được neo chủ yếu vào các mô hình hiệu ứng cố định chứ không vào mẫu con thiếu công suất, đúng nguyên tắc báo cáo trung thực đã nêu ở Mục 3.5.6.</w:t>
      </w:r>
    </w:p>
    <w:p>
      <w:pPr>
        <w:pStyle w:val="BodyText"/>
      </w:pPr>
      <w:r>
        <w:t xml:space="preserve">Nguyên tắc tương tự áp dụng cho các kết quả điều tiết không có ý nghĩa trong khung đa quốc gia. Năng lực công nghệ vào mô hình với hiệu ứng mức dương và rất có ý nghĩa, cho thấy doanh nghiệp năng lực cao hơn năng suất hơn ở mọi mức quốc tế hóa, nhưng các số hạng tương tác với cường độ xuất khẩu đều không có ý nghĩa và điểm uốn gần như không đổi, nghĩa là năng lực nâng nền mà không bẻ cong đường. Kết quả không có ý nghĩa của các số hạng tương tác vì vậy không bị diễn giải là thất bại đo lường mà là bằng chứng tích cực cho cách phân vai năng lực công nghệ là bộ tăng mức chứ không phải bộ điều tiết độ cong, một kết luận được củng cố thêm bởi sự nhất quán của hiệu ứng mức dương của năng lực công nghệ ở các nghiên cứu đơn quốc gia. Việc đối chiếu chéo giữa hiệu ứng mức ổn định và hiệu ứng điều tiết không có ý nghĩa, lặp lại qua nhiều nghiên cứu thành phần và nhiều chế độ thể chế, là chính cấu trúc bằng chứng cho phép luận án phân biệt một quy luật cấu trúc bền vững khỏi một hiệu ứng ngẫu nhiên của mẫu.</w:t>
      </w:r>
    </w:p>
    <w:bookmarkEnd w:id="144"/>
    <w:bookmarkStart w:id="145" w:name="X1ba20c2af5cc926bcdfa5cd872c426ad83188dc"/>
    <w:p>
      <w:pPr>
        <w:pStyle w:val="Heading3"/>
      </w:pPr>
      <w:r>
        <w:t xml:space="preserve">3.5.6.4 Ba kiểm định độ vững bổ sung trên khung canonical 50 nền</w:t>
      </w:r>
    </w:p>
    <w:p>
      <w:pPr>
        <w:pStyle w:val="FirstParagraph"/>
      </w:pPr>
      <w:r>
        <w:t xml:space="preserve">Ba kiểm định bổ sung dưới đây được tái lập trực tiếp từ khung dữ liệu canonical (</w:t>
      </w:r>
      <w:r>
        <w:rPr>
          <w:rStyle w:val="VerbatimChar"/>
        </w:rPr>
        <w:t xml:space="preserve">data_wbes/p7/p7_pooled_clean.csv</w:t>
      </w:r>
      <w:r>
        <w:t xml:space="preserve">; N năng suất hợp lệ ≈ 78.810) bằng mã nguồn</w:t>
      </w:r>
      <w:r>
        <w:t xml:space="preserve"> </w:t>
      </w:r>
      <w:r>
        <w:rPr>
          <w:rStyle w:val="VerbatimChar"/>
        </w:rPr>
        <w:t xml:space="preserve">scripts/revision_evidence.py</w:t>
      </w:r>
      <w:r>
        <w:t xml:space="preserve">, nhằm trả lời ba quan ngại nhận diện thường gặp ở phản biện tạp chí quốc tế: tính đầy đủ của dạng hàm, thiên lệch phương pháp chung, và độ giá trị tách bạch của hai cấu trúc năng lực số.</w:t>
      </w:r>
    </w:p>
    <w:p>
      <w:pPr>
        <w:pStyle w:val="BodyText"/>
      </w:pPr>
      <w:r>
        <w:rPr>
          <w:bCs/>
          <w:b/>
        </w:rPr>
        <w:t xml:space="preserve">Thứ nhất, đặc tả bậc hai là đủ.</w:t>
      </w:r>
      <w:r>
        <w:t xml:space="preserve"> </w:t>
      </w:r>
      <w:r>
        <w:t xml:space="preserve">Khi thêm số hạng bậc ba của cường độ xuất khẩu vào mô hình gộp (hiệu ứng cố định nền kinh tế và năm, sai số chuẩn gom cụm theo nền), số hạng bậc ba không có ý nghĩa thống kê (</w:t>
      </w:r>
      <m:oMath>
        <m:sSub>
          <m:e>
            <m:acc>
              <m:accPr>
                <m:chr m:val="̂"/>
              </m:accPr>
              <m:e>
                <m:r>
                  <m:t>β</m:t>
                </m:r>
              </m:e>
            </m:acc>
          </m:e>
          <m:sub>
            <m:r>
              <m:t>3</m:t>
            </m:r>
          </m:sub>
        </m:sSub>
        <m:r>
          <m:rPr>
            <m:sty m:val="p"/>
          </m:rPr>
          <m:t>=</m:t>
        </m:r>
        <m:r>
          <m:rPr>
            <m:sty m:val="p"/>
          </m:rPr>
          <m:t>+</m:t>
        </m:r>
        <m:r>
          <m:t>1</m:t>
        </m:r>
        <m:r>
          <m:rPr>
            <m:sty m:val="p"/>
          </m:rPr>
          <m:t>,</m:t>
        </m:r>
        <m:r>
          <m:t>01</m:t>
        </m:r>
      </m:oMath>
      <w:r>
        <w:t xml:space="preserve">,</w:t>
      </w:r>
      <w:r>
        <w:t xml:space="preserve"> </w:t>
      </w:r>
      <m:oMath>
        <m:r>
          <m:t>p</m:t>
        </m:r>
        <m:r>
          <m:rPr>
            <m:sty m:val="p"/>
          </m:rPr>
          <m:t>=</m:t>
        </m:r>
        <m:r>
          <m:rPr>
            <m:sty m:val="p"/>
          </m:rPr>
          <m:t>,</m:t>
        </m:r>
        <m:r>
          <m:t>53</m:t>
        </m:r>
      </m:oMath>
      <w:r>
        <w:t xml:space="preserve">) và tiêu chí thông tin Bayes phạt mô hình bậc ba (</w:t>
      </w:r>
      <m:oMath>
        <m:r>
          <m:t>Δ</m:t>
        </m:r>
        <m:r>
          <m:rPr>
            <m:sty m:val="p"/>
          </m:rPr>
          <m:t>B</m:t>
        </m:r>
        <m:r>
          <m:rPr>
            <m:sty m:val="p"/>
          </m:rPr>
          <m:t>I</m:t>
        </m:r>
        <m:r>
          <m:rPr>
            <m:sty m:val="p"/>
          </m:rPr>
          <m:t>C</m:t>
        </m:r>
        <m:r>
          <m:rPr>
            <m:sty m:val="p"/>
          </m:rPr>
          <m:t>=</m:t>
        </m:r>
        <m:r>
          <m:rPr>
            <m:sty m:val="p"/>
          </m:rPr>
          <m:t>+</m:t>
        </m:r>
        <m:r>
          <m:t>8</m:t>
        </m:r>
        <m:r>
          <m:rPr>
            <m:sty m:val="p"/>
          </m:rPr>
          <m:t>,</m:t>
        </m:r>
        <m:r>
          <m:t>4</m:t>
        </m:r>
      </m:oMath>
      <w:r>
        <w:t xml:space="preserve"> </w:t>
      </w:r>
      <w:r>
        <w:t xml:space="preserve">so với mô hình bậc hai). Kết quả này bác bỏ giả thuyết rằng quan hệ quốc tế hóa và hiệu quả ở cấp gộp tuân theo đường cong chữ S bậc ba, và xác nhận lựa chọn đặc tả bậc hai để định vị điểm uốn là tiết kiệm và phù hợp dữ liệu.</w:t>
      </w:r>
    </w:p>
    <w:p>
      <w:pPr>
        <w:pStyle w:val="BodyText"/>
      </w:pPr>
      <w:r>
        <w:rPr>
          <w:bCs/>
          <w:b/>
        </w:rPr>
        <w:t xml:space="preserve">Thứ hai, thiên lệch phương pháp chung không nghiêm trọng.</w:t>
      </w:r>
      <w:r>
        <w:t xml:space="preserve"> </w:t>
      </w:r>
      <w:r>
        <w:t xml:space="preserve">Vì mọi biến đều rút từ cùng một bảng khảo sát WBES, luận án thực hiện kiểm định một-nhân-tố Harman (Podsakoff et al., 2003) trên sáu biến lõi (năng suất lao động, cường độ xuất khẩu, TCI, DAI, quy mô, tuổi doanh nghiệp): nhân tố đầu tiên chỉ giải thích</w:t>
      </w:r>
      <w:r>
        <w:t xml:space="preserve"> </w:t>
      </w:r>
      <m:oMath>
        <m:r>
          <m:t>31</m:t>
        </m:r>
        <m:r>
          <m:rPr>
            <m:sty m:val="p"/>
          </m:rPr>
          <m:t>,</m:t>
        </m:r>
        <m:r>
          <m:t>6</m:t>
        </m:r>
        <m:r>
          <m:rPr>
            <m:sty m:val="p"/>
          </m:rPr>
          <m:t>%</m:t>
        </m:r>
      </m:oMath>
      <w:r>
        <w:t xml:space="preserve"> </w:t>
      </w:r>
      <w:r>
        <w:t xml:space="preserve">tổng phương sai, thấp hơn ngưỡng cảnh báo</w:t>
      </w:r>
      <w:r>
        <w:t xml:space="preserve"> </w:t>
      </w:r>
      <m:oMath>
        <m:r>
          <m:t>50</m:t>
        </m:r>
        <m:r>
          <m:rPr>
            <m:sty m:val="p"/>
          </m:rPr>
          <m:t>%</m:t>
        </m:r>
      </m:oMath>
      <w:r>
        <w:t xml:space="preserve"> </w:t>
      </w:r>
      <w:r>
        <w:t xml:space="preserve">thường dùng, cho thấy phương sai phương pháp chung không phải là nguồn giải thích thay thế đáng kể cho các mối liên hệ quan sát được.</w:t>
      </w:r>
    </w:p>
    <w:p>
      <w:pPr>
        <w:pStyle w:val="BodyText"/>
      </w:pPr>
      <w:r>
        <w:rPr>
          <w:bCs/>
          <w:b/>
        </w:rPr>
        <w:t xml:space="preserve">Thứ ba, TCI và DAI là hai chỉ số hợp thành (formative) tách biệt về thực nghiệm với mạng nomological khác biệt.</w:t>
      </w:r>
      <w:r>
        <w:t xml:space="preserve"> </w:t>
      </w:r>
      <w:r>
        <w:t xml:space="preserve">Một điểm phương pháp luận cần làm rõ là TCI và DAI được vận hành hóa như</w:t>
      </w:r>
      <w:r>
        <w:t xml:space="preserve"> </w:t>
      </w:r>
      <w:r>
        <w:rPr>
          <w:bCs/>
          <w:b/>
        </w:rPr>
        <w:t xml:space="preserve">chỉ số hợp thành (formative composite index)</w:t>
      </w:r>
      <w:r>
        <w:t xml:space="preserve"> </w:t>
      </w:r>
      <w:r>
        <w:t xml:space="preserve">chứ không phải cấu trúc phản ánh (reflective): các chỉ báo cấu thành (chứng nhận chất lượng, công nghệ nước ngoài, website, thanh toán điện tử) là</w:t>
      </w:r>
      <w:r>
        <w:t xml:space="preserve"> </w:t>
      </w:r>
      <w:r>
        <w:rPr>
          <w:bCs/>
          <w:b/>
        </w:rPr>
        <w:t xml:space="preserve">nguyên nhân cấu thành</w:t>
      </w:r>
      <w:r>
        <w:t xml:space="preserve"> </w:t>
      </w:r>
      <w:r>
        <w:t xml:space="preserve">năng lực chứ không phải biểu hiện của một biến tiềm ẩn chung; bỏ một chỉ báo làm thay đổi nội hàm cấu trúc, và theo bốn tiêu chí của Coltman et al. (2008), các chỉ báo formative</w:t>
      </w:r>
      <w:r>
        <w:t xml:space="preserve"> </w:t>
      </w:r>
      <w:r>
        <w:rPr>
          <w:bCs/>
          <w:b/>
        </w:rPr>
        <w:t xml:space="preserve">không bắt buộc phải đồng biến</w:t>
      </w:r>
      <w:r>
        <w:t xml:space="preserve">. Do đó tương quan nội bộ thấp giữa các chỉ báo trong cùng một chỉ số (chứng nhận với công nghệ nước ngoài</w:t>
      </w:r>
      <w:r>
        <w:t xml:space="preserve"> </w:t>
      </w:r>
      <m:oMath>
        <m:r>
          <m:t>r</m:t>
        </m:r>
        <m:r>
          <m:rPr>
            <m:sty m:val="p"/>
          </m:rPr>
          <m:t>=</m:t>
        </m:r>
        <m:r>
          <m:t>0</m:t>
        </m:r>
        <m:r>
          <m:rPr>
            <m:sty m:val="p"/>
          </m:rPr>
          <m:t>,</m:t>
        </m:r>
        <m:r>
          <m:t>12</m:t>
        </m:r>
      </m:oMath>
      <w:r>
        <w:t xml:space="preserve">; website với thanh toán điện tử</w:t>
      </w:r>
      <w:r>
        <w:t xml:space="preserve"> </w:t>
      </w:r>
      <m:oMath>
        <m:r>
          <m:t>r</m:t>
        </m:r>
        <m:r>
          <m:rPr>
            <m:sty m:val="p"/>
          </m:rPr>
          <m:t>=</m:t>
        </m:r>
        <m:r>
          <m:t>0</m:t>
        </m:r>
        <m:r>
          <m:rPr>
            <m:sty m:val="p"/>
          </m:rPr>
          <m:t>,</m:t>
        </m:r>
        <m:r>
          <m:t>03</m:t>
        </m:r>
      </m:oMath>
      <w:r>
        <w:t xml:space="preserve">) là</w:t>
      </w:r>
      <w:r>
        <w:t xml:space="preserve"> </w:t>
      </w:r>
      <w:r>
        <w:rPr>
          <w:bCs/>
          <w:b/>
        </w:rPr>
        <w:t xml:space="preserve">đúng kỳ vọng của đo lường hợp thành</w:t>
      </w:r>
      <w:r>
        <w:t xml:space="preserve">, không phải dấu hiệu thiếu hiệu lực, và các công cụ chẩn đoán dành cho đo lường phản ánh (phân tích nhân tố khám phá, nhất quán nội bộ) không phải kiểm định thích hợp cho loại đo lường này. Kiểm định thích hợp là ở</w:t>
      </w:r>
      <w:r>
        <w:t xml:space="preserve"> </w:t>
      </w:r>
      <w:r>
        <w:rPr>
          <w:bCs/>
          <w:b/>
        </w:rPr>
        <w:t xml:space="preserve">cấp chỉ số hợp thành</w:t>
      </w:r>
      <w:r>
        <w:t xml:space="preserve">, và nó xác nhận hai chỉ số tách biệt rõ về thực nghiệm: trên toàn khung phân tích canonical (khớp mẫu hồi quy bên dưới), tương quan giữa hai chỉ số chuẩn hóa chỉ là</w:t>
      </w:r>
      <w:r>
        <w:t xml:space="preserve"> </w:t>
      </w:r>
      <m:oMath>
        <m:r>
          <m:t>0</m:t>
        </m:r>
        <m:r>
          <m:rPr>
            <m:sty m:val="p"/>
          </m:rPr>
          <m:t>,</m:t>
        </m:r>
        <m:r>
          <m:t>28</m:t>
        </m:r>
      </m:oMath>
      <w:r>
        <w:t xml:space="preserve">, tức chia sẻ</w:t>
      </w:r>
      <w:r>
        <w:t xml:space="preserve"> </w:t>
      </w:r>
      <m:oMath>
        <m:r>
          <m:t>8</m:t>
        </m:r>
        <m:r>
          <m:rPr>
            <m:sty m:val="p"/>
          </m:rPr>
          <m:t>,</m:t>
        </m:r>
        <m:r>
          <m:t>0</m:t>
        </m:r>
        <m:r>
          <m:rPr>
            <m:sty m:val="p"/>
          </m:rPr>
          <m:t>%</m:t>
        </m:r>
      </m:oMath>
      <w:r>
        <w:t xml:space="preserve"> </w:t>
      </w:r>
      <w:r>
        <w:t xml:space="preserve">phương sai (trên tập con có đủ cả hai chỉ số phiên bản Tầng-2 đầy đủ,</w:t>
      </w:r>
      <w:r>
        <w:t xml:space="preserve"> </w:t>
      </w:r>
      <m:oMath>
        <m:r>
          <m:t>N</m:t>
        </m:r>
        <m:r>
          <m:rPr>
            <m:sty m:val="p"/>
          </m:rPr>
          <m:t>=</m:t>
        </m:r>
        <m:r>
          <m:t>8.574</m:t>
        </m:r>
      </m:oMath>
      <w:r>
        <w:t xml:space="preserve">, tương quan</w:t>
      </w:r>
      <w:r>
        <w:t xml:space="preserve"> </w:t>
      </w:r>
      <m:oMath>
        <m:r>
          <m:t>0</m:t>
        </m:r>
        <m:r>
          <m:rPr>
            <m:sty m:val="p"/>
          </m:rPr>
          <m:t>,</m:t>
        </m:r>
        <m:r>
          <m:t>34</m:t>
        </m:r>
      </m:oMath>
      <w:r>
        <w:t xml:space="preserve">); và khi đưa đồng thời vào cùng một mô hình, mỗi chỉ số giữ một hiệu ứng riêng phần độc lập và có ý nghĩa cao (TCI</w:t>
      </w:r>
      <w:r>
        <w:t xml:space="preserve"> </w:t>
      </w:r>
      <m:oMath>
        <m:r>
          <m:rPr>
            <m:sty m:val="p"/>
          </m:rPr>
          <m:t>+</m:t>
        </m:r>
        <m:r>
          <m:t>0</m:t>
        </m:r>
        <m:r>
          <m:rPr>
            <m:sty m:val="p"/>
          </m:rPr>
          <m:t>,</m:t>
        </m:r>
        <m:r>
          <m:t>18</m:t>
        </m:r>
      </m:oMath>
      <w:r>
        <w:t xml:space="preserve">, DAI</w:t>
      </w:r>
      <w:r>
        <w:t xml:space="preserve"> </w:t>
      </w:r>
      <m:oMath>
        <m:r>
          <m:rPr>
            <m:sty m:val="p"/>
          </m:rPr>
          <m:t>+</m:t>
        </m:r>
        <m:r>
          <m:t>0</m:t>
        </m:r>
        <m:r>
          <m:rPr>
            <m:sty m:val="p"/>
          </m:rPr>
          <m:t>,</m:t>
        </m:r>
        <m:r>
          <m:t>131</m:t>
        </m:r>
      </m:oMath>
      <w:r>
        <w:t xml:space="preserve">, cả hai</w:t>
      </w:r>
      <w:r>
        <w:t xml:space="preserve"> </w:t>
      </w:r>
      <m:oMath>
        <m:r>
          <m:t>p</m:t>
        </m:r>
        <m:r>
          <m:rPr>
            <m:sty m:val="p"/>
          </m:rPr>
          <m:t>&lt;</m:t>
        </m:r>
        <m:r>
          <m:rPr>
            <m:sty m:val="p"/>
          </m:rPr>
          <m:t>,</m:t>
        </m:r>
        <m:r>
          <m:t>001</m:t>
        </m:r>
      </m:oMath>
      <w:r>
        <w:t xml:space="preserve">), cho thấy chúng không trùng lặp mà nắm bắt hai chiều năng lực khác nhau. Bằng chứng này củng cố tính mới về sự phân biệt TCI–DAI: hai chỉ số là</w:t>
      </w:r>
      <w:r>
        <w:t xml:space="preserve"> </w:t>
      </w:r>
      <w:r>
        <w:rPr>
          <w:bCs/>
          <w:b/>
        </w:rPr>
        <w:t xml:space="preserve">hai cấu trúc hợp thành tách biệt có mạng nomological khác nhau</w:t>
      </w:r>
      <w:r>
        <w:t xml:space="preserve">, nhất quán với vai trò điều tiết khác nhau của chúng (cả hai là bộ nâng mặt bằng; vai trò uốn đường cong phụ thuộc chế độ thể chế, Mục 4.6.3). Chi tiết số liệu của các kiểm định này được lưu ở</w:t>
      </w:r>
      <w:r>
        <w:t xml:space="preserve"> </w:t>
      </w:r>
      <w:r>
        <w:rPr>
          <w:rStyle w:val="VerbatimChar"/>
        </w:rPr>
        <w:t xml:space="preserve">reviews/REVISION_EVIDENCE_2026-06-23.md</w:t>
      </w:r>
      <w:r>
        <w:t xml:space="preserve">. Một hệ quả của bản chất hợp thành này là luận án không áp dụng các hiệu chỉnh tạo tác đo lường kiểu Schmidt và Hunter, cụ thể là hiệu chỉnh sai số đo lường và hiệu chỉnh giới hạn phạm vi, cho TCI và DAI, bởi những hiệu chỉnh đó được thiết kế cho cấu trúc phản ánh có biến tiềm ẩn chung chứ không phù hợp với chỉ số hợp thành; lưu ý rằng giới hạn này chỉ liên quan đến hai biến điều tiết, trong khi biến phụ thuộc (năng suất lao động) và biến độc lập (cường độ xuất khẩu) là đại lượng quan sát trực tiếp nên cũng không thuộc diện hiệu chỉnh tạo tác.</w:t>
      </w:r>
    </w:p>
    <w:bookmarkEnd w:id="145"/>
    <w:bookmarkEnd w:id="146"/>
    <w:bookmarkStart w:id="147"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hỗn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phân tích tổng hợp 1977–2026</w:t>
            </w:r>
          </w:p>
        </w:tc>
        <w:tc>
          <w:tcPr/>
          <w:p>
            <w:pPr>
              <w:pStyle w:val="Compact"/>
              <w:jc w:val="left"/>
            </w:pPr>
            <w:r>
              <w:t xml:space="preserve">Bausch &amp; Krist (2007); Kirca et al. (2012); Marano et al. (2016)</w:t>
            </w:r>
          </w:p>
        </w:tc>
        <w:tc>
          <w:tcPr/>
          <w:p>
            <w:pPr>
              <w:pStyle w:val="Compact"/>
              <w:jc w:val="left"/>
            </w:pPr>
            <w:r>
              <w:t xml:space="preserve">Mở rộng phạm vi, bổ sung digital và 6 chế độ con ICRV moderators</w:t>
            </w:r>
          </w:p>
        </w:tc>
      </w:tr>
      <w:tr>
        <w:tc>
          <w:tcPr/>
          <w:p>
            <w:pPr>
              <w:pStyle w:val="Compact"/>
              <w:jc w:val="left"/>
            </w:pPr>
            <w:r>
              <w:t xml:space="preserve">Mẫu thực nghiệm gộp</w:t>
            </w:r>
          </w:p>
        </w:tc>
        <w:tc>
          <w:tcPr/>
          <w:p>
            <w:pPr>
              <w:pStyle w:val="Compact"/>
              <w:jc w:val="left"/>
            </w:pPr>
            <w:r>
              <w:t xml:space="preserve">nghiên cứu thành phần P1, 17 nền kinh tế châu Á mới nổi</w:t>
            </w:r>
          </w:p>
        </w:tc>
        <w:tc>
          <w:tcPr/>
          <w:p>
            <w:pPr>
              <w:pStyle w:val="Compact"/>
              <w:jc w:val="left"/>
            </w:pPr>
            <w:r>
              <w:t xml:space="preserve">Mở rộng từ 17 lên</w:t>
            </w:r>
            <w:r>
              <w:t xml:space="preserve"> </w:t>
            </w:r>
            <w:r>
              <w:rPr>
                <w:bCs/>
                <w:b/>
              </w:rPr>
              <w:t xml:space="preserve">50 nền kinh tế</w:t>
            </w:r>
            <w:r>
              <w:t xml:space="preserve">, 103 cặp nền kinh tế và năm (gồm Nhật Bản 2025)</w:t>
            </w:r>
          </w:p>
        </w:tc>
      </w:tr>
      <w:tr>
        <w:tc>
          <w:tcPr/>
          <w:p>
            <w:pPr>
              <w:pStyle w:val="Compact"/>
              <w:jc w:val="left"/>
            </w:pPr>
            <w:r>
              <w:t xml:space="preserve">Biến phụ thuộc năng suất lao động</w:t>
            </w:r>
          </w:p>
        </w:tc>
        <w:tc>
          <w:tcPr/>
          <w:p>
            <w:pPr>
              <w:pStyle w:val="Compact"/>
              <w:jc w:val="left"/>
            </w:pPr>
            <w:r>
              <w:t xml:space="preserve">Bloom et al. (2012); Hsieh &amp; Klenow (2009); nghiên cứu thành phần P1</w:t>
            </w:r>
          </w:p>
        </w:tc>
        <w:tc>
          <w:tcPr/>
          <w:p>
            <w:pPr>
              <w:pStyle w:val="Compact"/>
              <w:jc w:val="left"/>
            </w:pPr>
            <w:r>
              <w:t xml:space="preserve">Lập luận rõ về hiệu quả hoạt động kinh doanh của doanh nghiệp đa chiều trong bối cảnh WBES</w:t>
            </w:r>
          </w:p>
        </w:tc>
      </w:tr>
      <w:tr>
        <w:tc>
          <w:tcPr/>
          <w:p>
            <w:pPr>
              <w:pStyle w:val="Compact"/>
              <w:jc w:val="left"/>
            </w:pPr>
            <w:r>
              <w:t xml:space="preserve">FSTS +</w:t>
            </w:r>
            <w:r>
              <w:t xml:space="preserve"> </w:t>
            </w:r>
            <m:oMath>
              <m:sSup>
                <m:e>
                  <m:r>
                    <m:rPr>
                      <m:nor/>
                      <m:sty m:val="p"/>
                    </m:rPr>
                    <m:t>FSTS</m:t>
                  </m:r>
                </m:e>
                <m:sup>
                  <m:r>
                    <m:t>2</m:t>
                  </m:r>
                </m:sup>
              </m:sSup>
            </m:oMath>
          </w:p>
        </w:tc>
        <w:tc>
          <w:tcPr/>
          <w:p>
            <w:pPr>
              <w:pStyle w:val="Compact"/>
              <w:jc w:val="left"/>
            </w:pPr>
            <w:r>
              <w:t xml:space="preserve">Lu &amp; Beamish (2004); Hitt et al. (1997); nghiên cứu thành phần P2 và P5</w:t>
            </w:r>
          </w:p>
        </w:tc>
        <w:tc>
          <w:tcPr/>
          <w:p>
            <w:pPr>
              <w:pStyle w:val="Compact"/>
              <w:jc w:val="left"/>
            </w:pPr>
            <w:r>
              <w:t xml:space="preserve">Đưa vào cùng khung điều tiết ba chiều</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Không chồng lấn, độ thuần cấu trúc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Điều tiết ba chiều</w:t>
            </w:r>
          </w:p>
        </w:tc>
        <w:tc>
          <w:tcPr/>
          <w:p>
            <w:pPr>
              <w:pStyle w:val="Compact"/>
              <w:jc w:val="left"/>
            </w:pPr>
            <w:r>
              <w:t xml:space="preserve">Aiken &amp; West (1991); Dawson (2014)</w:t>
            </w:r>
          </w:p>
        </w:tc>
        <w:tc>
          <w:tcPr/>
          <w:p>
            <w:pPr>
              <w:pStyle w:val="Compact"/>
              <w:jc w:val="left"/>
            </w:pPr>
            <w:r>
              <w:t xml:space="preserve">số × thể chế × nhà quản trị, mới cho châu Á và Thái Bình Dương</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kiểm định ổn định Trung Quốc 2012–2024 (điểm uốn ~47,8%</w:t>
            </w:r>
            <w:r>
              <w:t xml:space="preserve"> </w:t>
            </w:r>
            <m:oMath>
              <m:r>
                <m:rPr>
                  <m:sty m:val="p"/>
                </m:rPr>
                <m:t>F</m:t>
              </m:r>
              <m:r>
                <m:rPr>
                  <m:sty m:val="p"/>
                </m:rPr>
                <m:t>S</m:t>
              </m:r>
              <m:r>
                <m:rPr>
                  <m:sty m:val="p"/>
                </m:rPr>
                <m:t>T</m:t>
              </m:r>
              <m:r>
                <m:rPr>
                  <m:sty m:val="p"/>
                </m:rPr>
                <m:t>S</m:t>
              </m:r>
            </m:oMath>
            <w:r>
              <w:t xml:space="preserve">)</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lệch lạc công bố</w:t>
            </w:r>
          </w:p>
        </w:tc>
        <w:tc>
          <w:tcPr/>
          <w:p>
            <w:pPr>
              <w:pStyle w:val="Compact"/>
              <w:jc w:val="left"/>
            </w:pPr>
            <w:r>
              <w:t xml:space="preserve">Egger et al. (1997); Begg &amp; Mazumdar (1994)</w:t>
            </w:r>
          </w:p>
        </w:tc>
        <w:tc>
          <w:tcPr/>
          <w:p>
            <w:pPr>
              <w:pStyle w:val="Compact"/>
              <w:jc w:val="left"/>
            </w:pPr>
            <w:r>
              <w:t xml:space="preserve">Chuẩn</w:t>
            </w:r>
          </w:p>
        </w:tc>
      </w:tr>
    </w:tbl>
    <w:bookmarkEnd w:id="147"/>
    <w:bookmarkStart w:id="148" w:name="đạo-đức-nghiên-cứu-và-khả-năng-tái-lập"/>
    <w:p>
      <w:pPr>
        <w:pStyle w:val="Heading2"/>
      </w:pPr>
      <w:r>
        <w:t xml:space="preserve">3.7 Đạo đức nghiên cứu và khả năng tái lập</w:t>
      </w:r>
    </w:p>
    <w:p>
      <w:pPr>
        <w:pStyle w:val="FirstParagraph"/>
      </w:pPr>
      <w:r>
        <w:t xml:space="preserve">Luận án sử dụng dữ liệu thứ cấp từ WBES, bộ dữ liệu công khai được World Bank cung cấp miễn phí cho mục đích nghiên cứu (World Bank Enterprise Surveys, 2025). Tất cả các trích dẫn theo APA 7th để ghi nhận đầy đủ công sức của các tác giả trước, tránh đạo văn. Code và dữ liệu phân tích được lưu trữ trên các nhánh chuyên biệt của kho mã để bảo đảm khả năng tái lập kết quả.</w:t>
      </w:r>
    </w:p>
    <w:p>
      <w:pPr>
        <w:pStyle w:val="BodyText"/>
      </w:pPr>
      <w:r>
        <w:t xml:space="preserve">Về bảo mật và quyền riêng tư, dữ liệu WBES đã được World Bank ẩn danh ở nguồn: bộ dữ liệu vi mô không chứa tên doanh nghiệp hay thông tin nhận dạng cá nhân của đáp viên, và mọi định danh chỉ là mã số nội bộ phục vụ ghép nối. Luận án không thu thập dữ liệu sơ cấp từ con người nên không phát sinh nghĩa vụ xin chấp thuận đạo đức từ hội đồng đối với đối tượng nghiên cứu là người; tuy vậy luận án vẫn tuân thủ điều khoản sử dụng của World Bank, không thực hiện bất kỳ thao tác nào nhằm tái nhận dạng doanh nghiệp, và chỉ báo cáo kết quả ở cấp tổng hợp hoặc cấp hệ số. Việc xử lý mã không phản hồi của bộ công cụ, gồm mã không biết, mã từ chối và mã không áp dụng, thành giá trị khuyết được thực hiện minh bạch theo quy ước nêu ở Phụ lục A nhằm tránh diễn giải sai các mã kỹ thuật thành giá trị thực.</w:t>
      </w:r>
    </w:p>
    <w:p>
      <w:pPr>
        <w:pStyle w:val="BodyText"/>
      </w:pPr>
      <w:r>
        <w:t xml:space="preserve">Về khả năng tái lập, luận án áp dụng nguyên tắc minh bạch kiểu PRISMA cho dữ liệu thứ cấp: toàn bộ quy trình hợp nhất sáu bước, từ lọc loại khảo sát đến tạo mẫu phân tích bằng xóa theo danh sách, được ghi rõ tiêu chí và số quan sát còn lại ở từng bước để cho phép tái dựng và kiểm chứng, cùng dòng dữ liệu kiểu PRISMA và mã tái lập trình bày đầy đủ ở Phụ lục A. Các con số trọng tâm của khung thực nghiệm được khóa và có thể tái lập đúng, gồm mô hình bậc hai gốc với cỡ mẫu hồi quy 81.022 và điểm uốn 51,5%, cùng mô hình đầy đủ thêm năng lực công nghệ và chấp nhận số với cỡ mẫu 79.080 và điểm uốn 43,6%. Tập lệnh xây dựng dữ liệu gộp tái lập đúng quy trình sáu bước S1 đến S6 trên kho mã hiện hành, bảo đảm rằng mỗi cập nhật bổ sung nền kinh tế hay đợt khảo sát mới, chẳng hạn Nhật Bản 2025, đều đi qua cùng một chuỗi quyết định lọc và hài hòa hóa có thể kiểm chứng.</w:t>
      </w:r>
    </w:p>
    <w:p>
      <w:r>
        <w:br w:type="page"/>
      </w:r>
    </w:p>
    <w:bookmarkEnd w:id="148"/>
    <w:bookmarkStart w:id="149" w:name="chương-4-kết-quả-nghiên-cứu"/>
    <w:p>
      <w:pPr>
        <w:pStyle w:val="Heading1"/>
      </w:pPr>
      <w:r>
        <w:t xml:space="preserve">CHƯƠNG 4: KẾT QUẢ NGHIÊN CỨU</w:t>
      </w:r>
    </w:p>
    <w:bookmarkEnd w:id="149"/>
    <w:p>
      <w:r>
        <w:pict>
          <v:rect style="width:0;height:1.5pt" o:hralign="center" o:hrstd="t" o:hr="t"/>
        </w:pict>
      </w:r>
    </w:p>
    <w:bookmarkStart w:id="150"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pPr>
        <w:pStyle w:val="BodyText"/>
      </w:pPr>
      <w:r>
        <w:t xml:space="preserve">Trật tự trình bày này không ngẫu nhiên mà được tổ chức để kiểm chứng luận điểm trọng tâm của luận án theo một lát cắt dọc trên phổ thể chế: rằng thể chế quy định không chỉ độ lớn mà cả dấu và dạng hình của quan hệ quốc tế hóa và hiệu quả. Đi từ Nhóm I (Singapore gần tuyến tính dương) qua Nhóm III (Trung Quốc, điểm uốn ổn định) đến Nhóm IV (Việt Nam, chữ U ngược rõ nét), rồi đối chiếu với toàn mẫu 50 nền (P7) và cực trị Nhóm VI (SIDS), chương này lần lượt phơi bày cách dạng hàm dịch chuyển theo vị trí thể chế và cách toàn bộ họ mô hình chữ U ngược mất cấu trúc tại cực trị, tức điều kiện biên FIP.</w:t>
      </w:r>
    </w:p>
    <w:p>
      <w:pPr>
        <w:pStyle w:val="BlockText"/>
      </w:pPr>
      <w:r>
        <w:rPr>
          <w:bCs/>
          <w:b/>
        </w:rPr>
        <w:t xml:space="preserve">Ghi chú nhận diện (đọc trước toàn chương).</w:t>
      </w:r>
      <w:r>
        <w:t xml:space="preserve"> </w:t>
      </w:r>
      <w:r>
        <w:t xml:space="preserve">Dữ liệu thực nghiệm là lát cắt ngang lặp lại, không phải bảng theo dõi cùng doanh nghiệp qua thời gian. Do đó, trừ nơi nêu rõ chiến lược biến công cụ (P3, P5), các hệ số trong chương này nên được đọc là</w:t>
      </w:r>
      <w:r>
        <w:t xml:space="preserve"> </w:t>
      </w:r>
      <w:r>
        <w:rPr>
          <w:bCs/>
          <w:b/>
        </w:rPr>
        <w:t xml:space="preserve">quan hệ liên hệ (associational) vững về mặt thống kê</w:t>
      </w:r>
      <w:r>
        <w:t xml:space="preserve"> </w:t>
      </w:r>
      <w:r>
        <w:t xml:space="preserve">sau khi hấp thụ hiệu ứng cố định nền kinh tế và năm,</w:t>
      </w:r>
      <w:r>
        <w:t xml:space="preserve"> </w:t>
      </w:r>
      <w:r>
        <w:rPr>
          <w:bCs/>
          <w:b/>
        </w:rPr>
        <w:t xml:space="preserve">chứ chưa phải hiệu ứng nhân quả</w:t>
      </w:r>
      <w:r>
        <w:t xml:space="preserve"> </w:t>
      </w:r>
      <w:r>
        <w:t xml:space="preserve">được nhận diện trực tiếp; ranh giới suy luận này được trình bày đầy đủ ở Mục 3.5.6 và đối chiếu với ba phản bác chính (nhân quả ngược, chọn lọc xuất khẩu, tạo tác đo lường) ở Mục 4.11. Các kết quả từ mẫu nhỏ hoặc thiếu công suất (đặc biệt P8 SIDS) được trình bày như</w:t>
      </w:r>
      <w:r>
        <w:t xml:space="preserve"> </w:t>
      </w:r>
      <w:r>
        <w:rPr>
          <w:bCs/>
          <w:b/>
        </w:rPr>
        <w:t xml:space="preserve">bằng chứng thăm dò cho điều kiện biên lý thuyết</w:t>
      </w:r>
      <w:r>
        <w:t xml:space="preserve">, không phải hiệu ứng khẳng định.</w:t>
      </w:r>
    </w:p>
    <w:p>
      <w:r>
        <w:pict>
          <v:rect style="width:0;height:1.5pt" o:hralign="center" o:hrstd="t" o:hr="t"/>
        </w:pict>
      </w:r>
    </w:p>
    <w:bookmarkEnd w:id="150"/>
    <w:bookmarkStart w:id="180" w:name="Xed285cd0261846a13dee28de69c0403b250498d"/>
    <w:p>
      <w:pPr>
        <w:pStyle w:val="Heading2"/>
      </w:pPr>
      <w:r>
        <w:t xml:space="preserve">4.1 Thực trạng quốc tế hóa và hiệu quả hoạt động kinh doanh tại châu Á</w:t>
      </w:r>
    </w:p>
    <w:bookmarkStart w:id="157" w:name="Xe27c4fc798ba9badf07654f8bef42e3eb112ba1"/>
    <w:p>
      <w:pPr>
        <w:pStyle w:val="Heading3"/>
      </w:pPr>
      <w:r>
        <w:t xml:space="preserve">4.1.1 Toàn cảnh tổng thể về hiệu quả hoạt động kinh doanh của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4.1–4.2 dưới đây được</w:t>
      </w:r>
      <w:r>
        <w:t xml:space="preserve"> </w:t>
      </w:r>
      <w:r>
        <w:rPr>
          <w:bCs/>
          <w:b/>
        </w:rPr>
        <w:t xml:space="preserve">tái lập trực tiếp từ dữ liệu thô</w:t>
      </w:r>
      <w:r>
        <w:t xml:space="preserve"> </w:t>
      </w:r>
      <w:r>
        <w:t xml:space="preserve">trên khung mô tả 50 nền có năng suất hợp lệ (84.998 doanh nghiệp; 107 cặp nền–năm), bằng cùng quy trình hài hòa hóa với pipeline kinh tế lượng P7 (</w:t>
      </w:r>
      <w:r>
        <w:rPr>
          <w:rStyle w:val="VerbatimChar"/>
        </w:rPr>
        <w:t xml:space="preserve">scripts/relock_descriptives_canonical.py</w:t>
      </w:r>
      <w:r>
        <w:t xml:space="preserve">); pool phân loại ICRV rộng hơn là 96.415 doanh nghiệp / 52 nhãn nền, khung phân tích đa quốc gia là 88.869 / 50 nền gồm Nhật Bản, và mẫu hồi quy chính P7 M2 là N = 81.022. Chênh lệch giữa các con số này là hệ quả trực tiếp của xóa-theo-danh-sách (listwise deletion) trên tập biến lõi (xem Phụ lục A.9): pool phân loại rộng nhất giữ cả doanh nghiệp thiếu biến năng suất hoặc thể chế, còn mẫu hồi quy chỉ giữ doanh nghiệp có đủ mọi biến mô hình; kiểm định ổn định điểm uốn (Mục 4.6.8) xác nhận các kết luận không bị chi phối bởi cơ chế khuyết.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0,96 (Nhóm I, Advanced đổi mới) lên 1,24–1,37 (Nhóm III–V), và tỷ số P90/P10 leo từ khoảng 11 lần (Nhóm I) lên khoảng 27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(khung mô tả tái lập 50 nền có năng suất hợp lệ, 84.998 doanh nghiệp, WBES 2006–2026; pool phân loại ICRV rộng hơn 96.415/52 nhãn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(LP-valid)</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 </w:t>
            </w:r>
            <m:oMath>
              <m:r>
                <m:rPr>
                  <m:sty m:val="p"/>
                </m:rPr>
                <m:t>≥</m:t>
              </m:r>
            </m:oMath>
            <w:r>
              <w:t xml:space="preserve"> </w:t>
            </w:r>
            <w:r>
              <w:t xml:space="preserve">10% (%)</w:t>
            </w:r>
          </w:p>
        </w:tc>
      </w:tr>
      <w:tr>
        <w:tc>
          <w:tcPr/>
          <w:p>
            <w:pPr>
              <w:pStyle w:val="Compact"/>
              <w:jc w:val="left"/>
            </w:pPr>
            <w:r>
              <w:t xml:space="preserve">Nhóm I: Advanced đổi mới (SG, HK, KOR, TWN, ISR, JPN)</w:t>
            </w:r>
          </w:p>
        </w:tc>
        <w:tc>
          <w:tcPr/>
          <w:p>
            <w:pPr>
              <w:pStyle w:val="Compact"/>
              <w:jc w:val="left"/>
            </w:pPr>
            <w:r>
              <w:t xml:space="preserve">5.688</w:t>
            </w:r>
          </w:p>
        </w:tc>
        <w:tc>
          <w:tcPr/>
          <w:p>
            <w:pPr>
              <w:pStyle w:val="Compact"/>
              <w:jc w:val="left"/>
            </w:pPr>
            <w:r>
              <w:t xml:space="preserve">0,96</w:t>
            </w:r>
          </w:p>
        </w:tc>
        <w:tc>
          <w:tcPr/>
          <w:p>
            <w:pPr>
              <w:pStyle w:val="Compact"/>
              <w:jc w:val="left"/>
            </w:pPr>
            <w:r>
              <w:t xml:space="preserve">10,3</w:t>
            </w:r>
          </w:p>
        </w:tc>
        <w:tc>
          <w:tcPr/>
          <w:p>
            <w:pPr>
              <w:pStyle w:val="Compact"/>
              <w:jc w:val="left"/>
            </w:pPr>
            <w:r>
              <w:t xml:space="preserve">24,3</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2.082</w:t>
            </w:r>
          </w:p>
        </w:tc>
        <w:tc>
          <w:tcPr/>
          <w:p>
            <w:pPr>
              <w:pStyle w:val="Compact"/>
              <w:jc w:val="left"/>
            </w:pPr>
            <w:r>
              <w:rPr>
                <w:bCs/>
                <w:b/>
              </w:rPr>
              <w:t xml:space="preserve">0,79</w:t>
            </w:r>
            <w:r>
              <w:t xml:space="preserve">²</w:t>
            </w:r>
          </w:p>
        </w:tc>
        <w:tc>
          <w:tcPr/>
          <w:p>
            <w:pPr>
              <w:pStyle w:val="Compact"/>
              <w:jc w:val="left"/>
            </w:pPr>
            <w:r>
              <w:t xml:space="preserve">3,9</w:t>
            </w:r>
          </w:p>
        </w:tc>
        <w:tc>
          <w:tcPr/>
          <w:p>
            <w:pPr>
              <w:pStyle w:val="Compact"/>
              <w:jc w:val="left"/>
            </w:pPr>
            <w:r>
              <w:t xml:space="preserve">11,6</w:t>
            </w:r>
          </w:p>
        </w:tc>
        <w:tc>
          <w:tcPr/>
          <w:p>
            <w:pPr>
              <w:pStyle w:val="Compact"/>
              <w:jc w:val="left"/>
            </w:pPr>
            <w:r>
              <w:t xml:space="preserve">13,6</w:t>
            </w:r>
          </w:p>
        </w:tc>
      </w:tr>
      <w:tr>
        <w:tc>
          <w:tcPr/>
          <w:p>
            <w:pPr>
              <w:pStyle w:val="Compact"/>
              <w:jc w:val="left"/>
            </w:pPr>
            <w:r>
              <w:t xml:space="preserve">Nhóm III: trung bình cao (CHN, MYS, THA, KAZ…)</w:t>
            </w:r>
          </w:p>
        </w:tc>
        <w:tc>
          <w:tcPr/>
          <w:p>
            <w:pPr>
              <w:pStyle w:val="Compact"/>
              <w:jc w:val="left"/>
            </w:pPr>
            <w:r>
              <w:t xml:space="preserve">15.174</w:t>
            </w:r>
          </w:p>
        </w:tc>
        <w:tc>
          <w:tcPr/>
          <w:p>
            <w:pPr>
              <w:pStyle w:val="Compact"/>
              <w:jc w:val="left"/>
            </w:pPr>
            <w:r>
              <w:t xml:space="preserve">1,30</w:t>
            </w:r>
          </w:p>
        </w:tc>
        <w:tc>
          <w:tcPr/>
          <w:p>
            <w:pPr>
              <w:pStyle w:val="Compact"/>
              <w:jc w:val="left"/>
            </w:pPr>
            <w:r>
              <w:t xml:space="preserve">10,3</w:t>
            </w:r>
          </w:p>
        </w:tc>
        <w:tc>
          <w:tcPr/>
          <w:p>
            <w:pPr>
              <w:pStyle w:val="Compact"/>
              <w:jc w:val="left"/>
            </w:pPr>
            <w:r>
              <w:t xml:space="preserve">21,6</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42.798</w:t>
            </w:r>
          </w:p>
        </w:tc>
        <w:tc>
          <w:tcPr/>
          <w:p>
            <w:pPr>
              <w:pStyle w:val="Compact"/>
              <w:jc w:val="left"/>
            </w:pPr>
            <w:r>
              <w:t xml:space="preserve">1,24</w:t>
            </w:r>
          </w:p>
        </w:tc>
        <w:tc>
          <w:tcPr/>
          <w:p>
            <w:pPr>
              <w:pStyle w:val="Compact"/>
              <w:jc w:val="left"/>
            </w:pPr>
            <w:r>
              <w:t xml:space="preserve">8,1</w:t>
            </w:r>
          </w:p>
        </w:tc>
        <w:tc>
          <w:tcPr/>
          <w:p>
            <w:pPr>
              <w:pStyle w:val="Compact"/>
              <w:jc w:val="left"/>
            </w:pPr>
            <w:r>
              <w:t xml:space="preserve">14,1</w:t>
            </w:r>
          </w:p>
        </w:tc>
        <w:tc>
          <w:tcPr/>
          <w:p>
            <w:pPr>
              <w:pStyle w:val="Compact"/>
              <w:jc w:val="left"/>
            </w:pPr>
            <w:r>
              <w:t xml:space="preserve">3,1</w:t>
            </w:r>
          </w:p>
        </w:tc>
      </w:tr>
      <w:tr>
        <w:tc>
          <w:tcPr/>
          <w:p>
            <w:pPr>
              <w:pStyle w:val="Compact"/>
              <w:jc w:val="left"/>
            </w:pPr>
            <w:r>
              <w:t xml:space="preserve">Nhóm V: đang nổi (LAO, KHM, NPL, LKA, JOR, AZE…)</w:t>
            </w:r>
          </w:p>
        </w:tc>
        <w:tc>
          <w:tcPr/>
          <w:p>
            <w:pPr>
              <w:pStyle w:val="Compact"/>
              <w:jc w:val="left"/>
            </w:pPr>
            <w:r>
              <w:t xml:space="preserve">17.340</w:t>
            </w:r>
          </w:p>
        </w:tc>
        <w:tc>
          <w:tcPr/>
          <w:p>
            <w:pPr>
              <w:pStyle w:val="Compact"/>
              <w:jc w:val="left"/>
            </w:pPr>
            <w:r>
              <w:t xml:space="preserve">1,37</w:t>
            </w:r>
          </w:p>
        </w:tc>
        <w:tc>
          <w:tcPr/>
          <w:p>
            <w:pPr>
              <w:pStyle w:val="Compact"/>
              <w:jc w:val="left"/>
            </w:pPr>
            <w:r>
              <w:t xml:space="preserve">10,2</w:t>
            </w:r>
          </w:p>
        </w:tc>
        <w:tc>
          <w:tcPr/>
          <w:p>
            <w:pPr>
              <w:pStyle w:val="Compact"/>
              <w:jc w:val="left"/>
            </w:pPr>
            <w:r>
              <w:t xml:space="preserve">18,1</w:t>
            </w:r>
          </w:p>
        </w:tc>
        <w:tc>
          <w:tcPr/>
          <w:p>
            <w:pPr>
              <w:pStyle w:val="Compact"/>
              <w:jc w:val="left"/>
            </w:pPr>
            <w:r>
              <w:t xml:space="preserve">7,0</w:t>
            </w:r>
          </w:p>
        </w:tc>
      </w:tr>
      <w:tr>
        <w:tc>
          <w:tcPr/>
          <w:p>
            <w:pPr>
              <w:pStyle w:val="Compact"/>
              <w:jc w:val="left"/>
            </w:pPr>
            <w:r>
              <w:t xml:space="preserve">Nhóm VI: SIDS (FJI, PNG, SLB…)</w:t>
            </w:r>
          </w:p>
        </w:tc>
        <w:tc>
          <w:tcPr/>
          <w:p>
            <w:pPr>
              <w:pStyle w:val="Compact"/>
              <w:jc w:val="left"/>
            </w:pPr>
            <w:r>
              <w:t xml:space="preserve">1.916</w:t>
            </w:r>
          </w:p>
        </w:tc>
        <w:tc>
          <w:tcPr/>
          <w:p>
            <w:pPr>
              <w:pStyle w:val="Compact"/>
              <w:jc w:val="left"/>
            </w:pPr>
            <w:r>
              <w:rPr>
                <w:bCs/>
                <w:b/>
              </w:rPr>
              <w:t xml:space="preserve">1,40</w:t>
            </w:r>
          </w:p>
        </w:tc>
        <w:tc>
          <w:tcPr/>
          <w:p>
            <w:pPr>
              <w:pStyle w:val="Compact"/>
              <w:jc w:val="left"/>
            </w:pPr>
            <w:r>
              <w:t xml:space="preserve">6,7</w:t>
            </w:r>
          </w:p>
        </w:tc>
        <w:tc>
          <w:tcPr/>
          <w:p>
            <w:pPr>
              <w:pStyle w:val="Compact"/>
              <w:jc w:val="left"/>
            </w:pPr>
            <w:r>
              <w:t xml:space="preserve">14,4</w:t>
            </w:r>
          </w:p>
        </w:tc>
        <w:tc>
          <w:tcPr/>
          <w:p>
            <w:pPr>
              <w:pStyle w:val="Compact"/>
              <w:jc w:val="left"/>
            </w:pPr>
            <w:r>
              <w:t xml:space="preserve">20,0</w:t>
            </w:r>
          </w:p>
        </w:tc>
      </w:tr>
      <w:tr>
        <w:tc>
          <w:tcPr/>
          <w:p>
            <w:pPr>
              <w:pStyle w:val="Compact"/>
              <w:jc w:val="left"/>
            </w:pPr>
            <w:r>
              <w:rPr>
                <w:bCs/>
                <w:b/>
              </w:rPr>
              <w:t xml:space="preserve">Tổng (LP-valid, 50 nền)</w:t>
            </w:r>
          </w:p>
        </w:tc>
        <w:tc>
          <w:tcPr/>
          <w:p>
            <w:pPr>
              <w:pStyle w:val="Compact"/>
              <w:jc w:val="left"/>
            </w:pPr>
            <w:r>
              <w:rPr>
                <w:bCs/>
                <w:b/>
              </w:rPr>
              <w:t xml:space="preserve">84.998</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2006–2026.</w:t>
      </w:r>
    </w:p>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w:t>
      </w:r>
      <w:r>
        <w:rPr>
          <w:iCs/>
          <w:i/>
        </w:rPr>
        <w:t xml:space="preserve">trong khung mô tả tái lập gồm 50 nền / 107 cặp nền–năm (tổng 84.998), tính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với cùng quy trình hài hòa hóa như pipeline kinh tế lượng P7. Khung mô tả này là phần lõi có năng suất hợp lệ của khung phân tích đa quốc gia (50 nền gồm Nhật Bản); mẫu hồi quy chính P7 là N = 81.022 (M2) và 79.080 (M5; xem Mục 4.6.1), còn pool phân loại ICRV rộng hơn (gồm cả doanh nghiệp thiếu biến năng suất/thể chế) là 96.415 / 52 nhãn nền. Vì vậy n ở bảng này nhỏ hơn các đếm mẫu đầy đủ dùng ở Bảng 4.3. ¹ Độ lệch chuẩn ln(năng suất lao động) khử trung bình trong từng cặp nền kinh tế × năm rồi tổng hợp trên các quan sát của nhóm, bất biến với đơn vị tiền tệ (thừa số quy đổi triệt tiêu trên thang log); năng suất được winsorize 1/99 trong cụm country-year (xem Mục 3.5.3). ² Nhóm II có phân tán hẹp nhất toàn khung (nén năng suất kiểu kinh tế nhà nước tô); hai nền lớn nhất khối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24,3% doanh nghiệp xuất khẩu, trong khi nhóm tài nguyên dẫn dắt chỉ có R&amp;D 7,0% và 11,6%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hoạt động kinh doanh của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phổ thể chế ICRV (từ ~11 lần lên ~27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phổ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p>
      <w:pPr>
        <w:pStyle w:val="CaptionedFigure"/>
      </w:pPr>
      <w:r>
        <w:drawing>
          <wp:inline>
            <wp:extent cx="5753100" cy="3141580"/>
            <wp:effectExtent b="0" l="0" r="0" t="0"/>
            <wp:docPr descr="Hình 4.1. Thành phần mẫu gộp theo nhóm ICRV" title="" id="152" name="Picture"/>
            <a:graphic>
              <a:graphicData uri="http://schemas.openxmlformats.org/drawingml/2006/picture">
                <pic:pic>
                  <pic:nvPicPr>
                    <pic:cNvPr descr="figures/fig_4_1_pool_composition.png" id="153" name="Picture"/>
                    <pic:cNvPicPr>
                      <a:picLocks noChangeArrowheads="1" noChangeAspect="1"/>
                    </pic:cNvPicPr>
                  </pic:nvPicPr>
                  <pic:blipFill>
                    <a:blip r:embed="rId151"/>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155" name="Picture"/>
            <a:graphic>
              <a:graphicData uri="http://schemas.openxmlformats.org/drawingml/2006/picture">
                <pic:pic>
                  <pic:nvPicPr>
                    <pic:cNvPr descr="figures/fig_4_0_pool_by_year.png" id="156" name="Picture"/>
                    <pic:cNvPicPr>
                      <a:picLocks noChangeArrowheads="1" noChangeAspect="1"/>
                    </pic:cNvPicPr>
                  </pic:nvPicPr>
                  <pic:blipFill>
                    <a:blip r:embed="rId154"/>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157"/>
    <w:bookmarkStart w:id="161"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khoảng 12–24%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6,7% (SIDS) đến 10,3% (trung bình cao), với mức trung bình khu vực khoảng 9%. Điều đáng chú ý là trung bình cao và Advanced có cùng FSTS trung bình (~10%) nhưng cơ chế xuất khẩu hoàn toàn khác: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159" name="Picture"/>
            <a:graphic>
              <a:graphicData uri="http://schemas.openxmlformats.org/drawingml/2006/picture">
                <pic:pic>
                  <pic:nvPicPr>
                    <pic:cNvPr descr="figures/fig_4_4_growth_pathway.png" id="160" name="Picture"/>
                    <pic:cNvPicPr>
                      <a:picLocks noChangeArrowheads="1" noChangeAspect="1"/>
                    </pic:cNvPicPr>
                  </pic:nvPicPr>
                  <pic:blipFill>
                    <a:blip r:embed="rId158"/>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161"/>
    <w:bookmarkStart w:id="165"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Bậc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2006–2026 (tái lập:</w:t>
      </w:r>
      <w:r>
        <w:rPr>
          <w:iCs/>
          <w:i/>
        </w:rPr>
        <w:t xml:space="preserve"> </w:t>
      </w:r>
      <w:r>
        <w:rPr>
          <w:rStyle w:val="VerbatimChar"/>
          <w:iCs/>
          <w:i/>
        </w:rPr>
        <w:t xml:space="preserve">scripts/relock_descriptives_canonical.py</w:t>
      </w:r>
      <w:r>
        <w:rPr>
          <w:iCs/>
          <w:i/>
        </w:rPr>
        <w:t xml:space="preserve">).</w:t>
      </w:r>
    </w:p>
    <w:p>
      <w:pPr>
        <w:pStyle w:val="BodyText"/>
      </w:pPr>
      <w:r>
        <w:rPr>
          <w:iCs/>
          <w:i/>
        </w:rPr>
        <w:t xml:space="preserve">Ghi chú: Bảng 4.2 được tái lập trực tiếp từ dữ liệu thô WBES trên cùng khung mô tả canonical 50 nền (một cross-section chuẩn cho mỗi cặp nền kinh tế × năm, đợt khảo sát ≥ 2006) như Bảng 4.1,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Phổ năng lực thể chế thể hiện rõ ở các biến nền tảng: R&amp;D 21,0% (Nhóm I) xuống 10,2% (Nhóm VI); ISO 32,5% xuống 12,2%; website 69,2% xuống 41,5%.</w:t>
      </w:r>
    </w:p>
    <w:p>
      <w:pPr>
        <w:pStyle w:val="BodyText"/>
      </w:pPr>
      <w:r>
        <w:t xml:space="preserve">Phát hiện đáng chú ý là khuôn mẫu</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(40,6%)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thuộc nhóm thấp nhất, và đây là nhóm duy nhất nơi dạng chữ U ngược hoàn toàn mất cấu trúc (FIP là trường hợp giới hạn lý thuyết).</w:t>
      </w:r>
    </w:p>
    <w:p>
      <w:pPr>
        <w:pStyle w:val="BodyText"/>
      </w:pPr>
      <w:r>
        <w:t xml:space="preserve">Một biểu hiện khác của bão hòa Bậc 1 nằm ở tương quan giữa website và năng suất: phần bù tương quan của DAI Bậc 1 thấp nhất ở nhóm Advanced đổi mới (+0,093, so với +0,183–0,202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Bậc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163" name="Picture"/>
            <a:graphic>
              <a:graphicData uri="http://schemas.openxmlformats.org/drawingml/2006/picture">
                <pic:pic>
                  <pic:nvPicPr>
                    <pic:cNvPr descr="figures/fig_4_6_firm_size.png" id="164" name="Picture"/>
                    <pic:cNvPicPr>
                      <a:picLocks noChangeArrowheads="1" noChangeAspect="1"/>
                    </pic:cNvPicPr>
                  </pic:nvPicPr>
                  <pic:blipFill>
                    <a:blip r:embed="rId162"/>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165"/>
    <w:bookmarkStart w:id="166"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hoạt động kinh doanh của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166"/>
    <w:bookmarkStart w:id="167"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phổ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Bậc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167"/>
    <w:bookmarkStart w:id="177" w:name="X015dea6c653e927b7e9f3cccc9ffd4d3ce8ee25"/>
    <w:p>
      <w:pPr>
        <w:pStyle w:val="Heading3"/>
      </w:pPr>
      <w:r>
        <w:t xml:space="preserve">4.1.6 So sánh xuyên nhóm ICRV: phổ thể chế tương quan và độ phân tán hiệu quả</w:t>
      </w:r>
    </w:p>
    <w:p>
      <w:pPr>
        <w:pStyle w:val="FirstParagraph"/>
      </w:pPr>
      <w:r>
        <w:t xml:space="preserve">Khi đặt cạnh nhau toàn bộ các chỉ báo mô tả theo sáu nhóm ICRV, một cấu trúc rõ rệt nổi lên trong đó cường độ của các tương quan thô suy giảm dần (đến mức triệt tiêu ở SIDS) theo chiều suy yếu của thể chế. Hệ số tương quan Pearson giữa năng suất lao động chuẩn hóa và cường độ quốc tế hóa giảm đơn điệu theo phổ thể chế: từ</w:t>
      </w:r>
      <w:r>
        <w:t xml:space="preserve"> </w:t>
      </w:r>
      <m:oMath>
        <m:r>
          <m:rPr>
            <m:sty m:val="p"/>
          </m:rPr>
          <m:t>+</m:t>
        </m:r>
        <m:r>
          <m:t>0</m:t>
        </m:r>
        <m:r>
          <m:rPr>
            <m:sty m:val="p"/>
          </m:rPr>
          <m:t>,</m:t>
        </m:r>
        <m:r>
          <m:t>141</m:t>
        </m:r>
      </m:oMath>
      <w:r>
        <w:t xml:space="preserve"> </w:t>
      </w:r>
      <w:r>
        <w:t xml:space="preserve">ở Nhóm I, qua</w:t>
      </w:r>
      <w:r>
        <w:t xml:space="preserve"> </w:t>
      </w:r>
      <m:oMath>
        <m:r>
          <m:rPr>
            <m:sty m:val="p"/>
          </m:rPr>
          <m:t>+</m:t>
        </m:r>
        <m:r>
          <m:t>0</m:t>
        </m:r>
        <m:r>
          <m:rPr>
            <m:sty m:val="p"/>
          </m:rPr>
          <m:t>,</m:t>
        </m:r>
        <m:r>
          <m:t>122</m:t>
        </m:r>
      </m:oMath>
      <w:r>
        <w:t xml:space="preserve"> </w:t>
      </w:r>
      <w:r>
        <w:t xml:space="preserve">ở Nhóm II,</w:t>
      </w:r>
      <w:r>
        <w:t xml:space="preserve"> </w:t>
      </w:r>
      <m:oMath>
        <m:r>
          <m:rPr>
            <m:sty m:val="p"/>
          </m:rPr>
          <m:t>+</m:t>
        </m:r>
        <m:r>
          <m:t>0</m:t>
        </m:r>
        <m:r>
          <m:rPr>
            <m:sty m:val="p"/>
          </m:rPr>
          <m:t>,</m:t>
        </m:r>
        <m:r>
          <m:t>061</m:t>
        </m:r>
      </m:oMath>
      <w:r>
        <w:t xml:space="preserve"> </w:t>
      </w:r>
      <w:r>
        <w:t xml:space="preserve">ở Nhóm III,</w:t>
      </w:r>
      <w:r>
        <w:t xml:space="preserve"> </w:t>
      </w:r>
      <m:oMath>
        <m:r>
          <m:rPr>
            <m:sty m:val="p"/>
          </m:rPr>
          <m:t>+</m:t>
        </m:r>
        <m:r>
          <m:t>0</m:t>
        </m:r>
        <m:r>
          <m:rPr>
            <m:sty m:val="p"/>
          </m:rPr>
          <m:t>,</m:t>
        </m:r>
        <m:r>
          <m:t>049</m:t>
        </m:r>
      </m:oMath>
      <w:r>
        <w:t xml:space="preserve"> </w:t>
      </w:r>
      <w:r>
        <w:t xml:space="preserve">ở Nhóm IV,</w:t>
      </w:r>
      <w:r>
        <w:t xml:space="preserve"> </w:t>
      </w:r>
      <m:oMath>
        <m:r>
          <m:rPr>
            <m:sty m:val="p"/>
          </m:rPr>
          <m:t>+</m:t>
        </m:r>
        <m:r>
          <m:t>0</m:t>
        </m:r>
        <m:r>
          <m:rPr>
            <m:sty m:val="p"/>
          </m:rPr>
          <m:t>,</m:t>
        </m:r>
        <m:r>
          <m:t>015</m:t>
        </m:r>
      </m:oMath>
      <w:r>
        <w:t xml:space="preserve"> </w:t>
      </w:r>
      <w:r>
        <w:t xml:space="preserve">ở Nhóm V, rồi mất ý nghĩa thống kê ở SIDS (</w:t>
      </w:r>
      <m:oMath>
        <m:r>
          <m:rPr>
            <m:sty m:val="p"/>
          </m:rPr>
          <m:t>+</m:t>
        </m:r>
        <m:r>
          <m:t>0</m:t>
        </m:r>
        <m:r>
          <m:rPr>
            <m:sty m:val="p"/>
          </m:rPr>
          <m:t>,</m:t>
        </m:r>
        <m:r>
          <m:t>002</m:t>
        </m:r>
      </m:oMath>
      <w:r>
        <w:t xml:space="preserve">, không có ý nghĩa). Mô thức này cho thấy quan hệ thô giữa quốc tế hóa và năng suất gần như biến mất ở các môi trường thể chế yếu, gợi ý một quan hệ phi tuyến và bị điều tiết thay vì một hiệu ứng tuyến tính phổ quát; SIDS là nhóm duy nhất nơi tương quan này triệt tiêu hoàn toàn (gần 0, không ý nghĩa),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Phổ năng lực công nghệ theo sáu nhóm ICRV" title="" id="169" name="Picture"/>
            <a:graphic>
              <a:graphicData uri="http://schemas.openxmlformats.org/drawingml/2006/picture">
                <pic:pic>
                  <pic:nvPicPr>
                    <pic:cNvPr descr="figures/fig_icrv_capability_gradient.png" id="170" name="Picture"/>
                    <pic:cNvPicPr>
                      <a:picLocks noChangeArrowheads="1" noChangeAspect="1"/>
                    </pic:cNvPicPr>
                  </pic:nvPicPr>
                  <pic:blipFill>
                    <a:blip r:embed="rId168"/>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Phổ năng lực công nghệ theo sáu nhóm ICRV</w:t>
      </w:r>
    </w:p>
    <w:p>
      <w:pPr>
        <w:pStyle w:val="BodyText"/>
      </w:pPr>
      <w:r>
        <w:t xml:space="preserve">Ngược với phổ thể chế của quốc tế hóa, năng lực công nghệ là yếu tố tương quan mạnh và đồng đều nhất ở mọi nhóm, dao động từ</w:t>
      </w:r>
      <w:r>
        <w:t xml:space="preserve"> </w:t>
      </w:r>
      <m:oMath>
        <m:r>
          <m:rPr>
            <m:sty m:val="p"/>
          </m:rPr>
          <m:t>+</m:t>
        </m:r>
        <m:r>
          <m:t>0</m:t>
        </m:r>
        <m:r>
          <m:rPr>
            <m:sty m:val="p"/>
          </m:rPr>
          <m:t>,</m:t>
        </m:r>
        <m:r>
          <m:t>094</m:t>
        </m:r>
      </m:oMath>
      <w:r>
        <w:t xml:space="preserve"> </w:t>
      </w:r>
      <w:r>
        <w:t xml:space="preserve">ở SIDS đến</w:t>
      </w:r>
      <w:r>
        <w:t xml:space="preserve"> </w:t>
      </w:r>
      <m:oMath>
        <m:r>
          <m:rPr>
            <m:sty m:val="p"/>
          </m:rPr>
          <m:t>+</m:t>
        </m:r>
        <m:r>
          <m:t>0</m:t>
        </m:r>
        <m:r>
          <m:rPr>
            <m:sty m:val="p"/>
          </m:rPr>
          <m:t>,</m:t>
        </m:r>
        <m:r>
          <m:t>180</m:t>
        </m:r>
      </m:oMath>
      <w:r>
        <w:t xml:space="preserve"> </w:t>
      </w:r>
      <w:r>
        <w:t xml:space="preserve">ở Nhóm 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105</m:t>
        </m:r>
      </m:oMath>
      <w:r>
        <w:t xml:space="preserve"> </w:t>
      </w:r>
      <w:r>
        <w:t xml:space="preserve">và SIDS</w:t>
      </w:r>
      <w:r>
        <w:t xml:space="preserve"> </w:t>
      </w:r>
      <m:oMath>
        <m:r>
          <m:rPr>
            <m:sty m:val="p"/>
          </m:rPr>
          <m:t>+</m:t>
        </m:r>
        <m:r>
          <m:t>0</m:t>
        </m:r>
        <m:r>
          <m:rPr>
            <m:sty m:val="p"/>
          </m:rPr>
          <m:t>,</m:t>
        </m:r>
        <m:r>
          <m:t>104</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172" name="Picture"/>
            <a:graphic>
              <a:graphicData uri="http://schemas.openxmlformats.org/drawingml/2006/picture">
                <pic:pic>
                  <pic:nvPicPr>
                    <pic:cNvPr descr="figures/fig_4_2_productivity_density.png" id="173" name="Picture"/>
                    <pic:cNvPicPr>
                      <a:picLocks noChangeArrowheads="1" noChangeAspect="1"/>
                    </pic:cNvPicPr>
                  </pic:nvPicPr>
                  <pic:blipFill>
                    <a:blip r:embed="rId171"/>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phổ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2</m:t>
        </m:r>
      </m:oMath>
      <w:r>
        <w:t xml:space="preserve"> </w:t>
      </w:r>
      <w:r>
        <w:t xml:space="preserve">lần ở Nhóm I lên</w:t>
      </w:r>
      <w:r>
        <w:t xml:space="preserve"> </w:t>
      </w:r>
      <m:oMath>
        <m:r>
          <m:t>5</m:t>
        </m:r>
        <m:r>
          <m:rPr>
            <m:sty m:val="p"/>
          </m:rPr>
          <m:t>,</m:t>
        </m:r>
        <m:r>
          <m:t>5</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175" name="Picture"/>
            <a:graphic>
              <a:graphicData uri="http://schemas.openxmlformats.org/drawingml/2006/picture">
                <pic:pic>
                  <pic:nvPicPr>
                    <pic:cNvPr descr="figures/fig_4_7_spider_chart.png" id="176" name="Picture"/>
                    <pic:cNvPicPr>
                      <a:picLocks noChangeArrowheads="1" noChangeAspect="1"/>
                    </pic:cNvPicPr>
                  </pic:nvPicPr>
                  <pic:blipFill>
                    <a:blip r:embed="rId174"/>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điểm tương phản đáng chú ý về số hóa nằm ở chính nhóm tiên tiến. Phần bù tương quan của chấp nhận số bề mặt (website, thuộc Bậc 1) lại thấp nhất ở Nhóm I (</w:t>
      </w:r>
      <m:oMath>
        <m:r>
          <m:rPr>
            <m:sty m:val="p"/>
          </m:rPr>
          <m:t>+</m:t>
        </m:r>
        <m:r>
          <m:t>0</m:t>
        </m:r>
        <m:r>
          <m:rPr>
            <m:sty m:val="p"/>
          </m:rPr>
          <m:t>,</m:t>
        </m:r>
        <m:r>
          <m:t>093</m:t>
        </m:r>
      </m:oMath>
      <w:r>
        <w:t xml:space="preserve">), trong khi cao nhất ở Nhóm II (</w:t>
      </w:r>
      <m:oMath>
        <m:r>
          <m:rPr>
            <m:sty m:val="p"/>
          </m:rPr>
          <m:t>+</m:t>
        </m:r>
        <m:r>
          <m:t>0</m:t>
        </m:r>
        <m:r>
          <m:rPr>
            <m:sty m:val="p"/>
          </m:rPr>
          <m:t>,</m:t>
        </m:r>
        <m:r>
          <m:t>202</m:t>
        </m:r>
      </m:oMath>
      <w:r>
        <w:t xml:space="preserve">) và Nhóm IV (</w:t>
      </w:r>
      <m:oMath>
        <m:r>
          <m:rPr>
            <m:sty m:val="p"/>
          </m:rPr>
          <m:t>+</m:t>
        </m:r>
        <m:r>
          <m:t>0</m:t>
        </m:r>
        <m:r>
          <m:rPr>
            <m:sty m:val="p"/>
          </m:rPr>
          <m:t>,</m:t>
        </m:r>
        <m:r>
          <m:t>183</m:t>
        </m:r>
      </m:oMath>
      <w:r>
        <w:t xml:space="preserve">), dù tỷ lệ có website ở Nhóm I đã đạt</w:t>
      </w:r>
      <w:r>
        <w:t xml:space="preserve"> </w:t>
      </w:r>
      <m:oMath>
        <m:r>
          <m:t>69</m:t>
        </m:r>
        <m:r>
          <m:rPr>
            <m:sty m:val="p"/>
          </m:rPr>
          <m:t>,</m:t>
        </m:r>
        <m:r>
          <m:t>2</m:t>
        </m:r>
        <m:r>
          <m:rPr>
            <m:sty m:val="p"/>
          </m:rPr>
          <m:t>%</m:t>
        </m:r>
      </m:oMath>
      <w:r>
        <w:t xml:space="preserve">. Đây là biểu hiện trực tiếp của hiện tượng bão hòa thước đo Bậc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177"/>
    <w:bookmarkStart w:id="178"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Phát hiện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trực tiếp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178"/>
    <w:bookmarkStart w:id="179" w:name="Xe41dbabf46811951e2d003231fb8e958f9ec50f"/>
    <w:p>
      <w:pPr>
        <w:pStyle w:val="Heading3"/>
      </w:pPr>
      <w:r>
        <w:t xml:space="preserve">4.1.8 Phổ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phổ thể chế mức hợp lệ giữa các nền kinh tế, nhất quán với lý thuyết thể chế theo đó thể chế mạnh kéo theo chi phí giao dịch thấp và biên lợi nhuận cao hơn. Cần lưu ý rằng phổ thể chế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phổ thể chế, từ 61,7% ở Nhóm I xuống 41,2% ở Nhóm V, phù hợp với khoảng cách hạ tầng số. Nổi bật nhất, tỷ lệ nữ trong quản trị cấp cao không theo phổ thể chế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179"/>
    <w:bookmarkEnd w:id="180"/>
    <w:bookmarkStart w:id="189" w:name="X793daa8b2eddd060588462e198e78f93f4f770d"/>
    <w:p>
      <w:pPr>
        <w:pStyle w:val="Heading2"/>
      </w:pPr>
      <w:r>
        <w:t xml:space="preserve">4.2 Kết quả tổng hợp định lượng: phân tích tổng hợp ba tầng (P6)</w:t>
      </w:r>
    </w:p>
    <w:bookmarkStart w:id="181" w:name="chỉ-số-hiệu-ứng-tổng-hợp"/>
    <w:p>
      <w:pPr>
        <w:pStyle w:val="Heading3"/>
      </w:pPr>
      <w:r>
        <w:t xml:space="preserve">4.2.1 Chỉ số hiệu ứng tổng hợp</w:t>
      </w:r>
    </w:p>
    <w:p>
      <w:pPr>
        <w:pStyle w:val="FirstParagraph"/>
      </w:pPr>
      <w:r>
        <w:t xml:space="preserve">Phân tích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phân tích tổng hợp trước đây của Bausch và Krist (2007), Kirca et al. (2012), Marano et al. (2016) và Arte và Larimo (2022): mối quan hệ tổng hợp giữa quốc tế hóa và hiệu quả hoạt động là dương nhưng có biên độ khiêm tốn. Đặt trong dải bằng chứng quốc tế,</w:t>
      </w:r>
      <w:r>
        <w:t xml:space="preserve"> </w:t>
      </w:r>
      <m:oMath>
        <m:r>
          <m:t>r</m:t>
        </m:r>
        <m:r>
          <m:rPr>
            <m:sty m:val="p"/>
          </m:rPr>
          <m:t>=</m:t>
        </m:r>
        <m:r>
          <m:t>0</m:t>
        </m:r>
        <m:r>
          <m:rPr>
            <m:sty m:val="p"/>
          </m:rPr>
          <m:t>,</m:t>
        </m:r>
        <m:r>
          <m:t>074</m:t>
        </m:r>
      </m:oMath>
      <w:r>
        <w:t xml:space="preserve"> </w:t>
      </w:r>
      <w:r>
        <w:t xml:space="preserve">nằm ở cận dưới của khoảng mà các phân tích tổng hợp toàn cầu báo cáo (Bausch và Krist, 2007:</w:t>
      </w:r>
      <w:r>
        <w:t xml:space="preserve"> </w:t>
      </w:r>
      <m:oMath>
        <m:r>
          <m:t>r</m:t>
        </m:r>
        <m:r>
          <m:rPr>
            <m:sty m:val="p"/>
          </m:rPr>
          <m:t>≈</m:t>
        </m:r>
        <m:r>
          <m:t>0</m:t>
        </m:r>
        <m:r>
          <m:rPr>
            <m:sty m:val="p"/>
          </m:rPr>
          <m:t>,</m:t>
        </m:r>
        <m:r>
          <m:t>10</m:t>
        </m:r>
      </m:oMath>
      <w:r>
        <w:t xml:space="preserve">; Marano et al., 2016:</w:t>
      </w:r>
      <w:r>
        <w:t xml:space="preserve"> </w:t>
      </w:r>
      <m:oMath>
        <m:r>
          <m:t>r</m:t>
        </m:r>
        <m:r>
          <m:rPr>
            <m:sty m:val="p"/>
          </m:rPr>
          <m:t>≈</m:t>
        </m:r>
        <m:r>
          <m:t>0</m:t>
        </m:r>
        <m:r>
          <m:rPr>
            <m:sty m:val="p"/>
          </m:rPr>
          <m:t>,</m:t>
        </m:r>
        <m:r>
          <m:t>07</m:t>
        </m:r>
      </m:oMath>
      <w:r>
        <w:t xml:space="preserve">–</w:t>
      </w:r>
      <m:oMath>
        <m:r>
          <m:t>0</m:t>
        </m:r>
        <m:r>
          <m:rPr>
            <m:sty m:val="p"/>
          </m:rPr>
          <m:t>,</m:t>
        </m:r>
        <m:r>
          <m:t>13</m:t>
        </m:r>
      </m:oMath>
      <w:r>
        <w:t xml:space="preserve">) và đặc biệt gần với các phân tích tổng hợp tập trung vào doanh nghiệp đa quốc gia thị trường mới nổi, vốn cũng ghi nhận hiệu ứng dương nhỏ kèm dị biệt rất cao (Wu et al., 2022); sự tương hợp này định vị P6 ở cận dưới của tài liệu quốc tế thay vì như một ngoại lệ.</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181"/>
    <w:bookmarkStart w:id="182"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4"/>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4"/>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dị biệt trong tài liệu về quan hệ quốc tế hóa và hiệu quả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tài liệu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82"/>
    <w:bookmarkStart w:id="183"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các nhóm từ tiên tiến đổi mới (Nhóm I) đến nhóm biên thể chế yếu nhất, là biến điều tiết có ý nghĩa thực sự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phổ thể chế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phổ thể chế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183"/>
    <w:bookmarkStart w:id="184"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184"/>
    <w:bookmarkStart w:id="185"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487</m:t>
        </m:r>
      </m:oMath>
      <w:r>
        <w:t xml:space="preserve"> </w:t>
      </w:r>
      <w:r>
        <w:t xml:space="preserve">(</w:t>
      </w:r>
      <m:oMath>
        <m:r>
          <m:t>p</m:t>
        </m:r>
        <m:r>
          <m:rPr>
            <m:sty m:val="p"/>
          </m:rPr>
          <m:t>=</m:t>
        </m:r>
        <m:r>
          <m:rPr>
            <m:sty m:val="p"/>
          </m:rPr>
          <m:t>,</m:t>
        </m:r>
        <m:r>
          <m:t>052</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132</m:t>
        </m:r>
      </m:oMath>
      <w:r>
        <w:t xml:space="preserve"> </w:t>
      </w:r>
      <w:r>
        <w:t xml:space="preserve">(</w:t>
      </w:r>
      <m:oMath>
        <m:r>
          <m:t>p</m:t>
        </m:r>
        <m:r>
          <m:rPr>
            <m:sty m:val="p"/>
          </m:rPr>
          <m:t>=</m:t>
        </m:r>
        <m:r>
          <m:rPr>
            <m:sty m:val="p"/>
          </m:rPr>
          <m:t>,</m:t>
        </m:r>
        <m:r>
          <m:t>001</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57</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44.782</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Tóm lại, bằng chứng lệch lạc công bố được xác nhận qua kiểm định Begg–Mazumdar có ý nghĩa (</w:t>
      </w:r>
      <m:oMath>
        <m:r>
          <m:t>p</m:t>
        </m:r>
        <m:r>
          <m:rPr>
            <m:sty m:val="p"/>
          </m:rPr>
          <m:t>=</m:t>
        </m:r>
        <m:r>
          <m:rPr>
            <m:sty m:val="p"/>
          </m:rPr>
          <m:t>,</m:t>
        </m:r>
        <m:r>
          <m:t>001</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thiết lập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thiết lập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185"/>
    <w:bookmarkStart w:id="186"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thiết lập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DerSimonian–Laird)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186"/>
    <w:bookmarkStart w:id="187" w:name="X4ce2f94328eb8320e9ed059e2c3fb4dd7d1a97a"/>
    <w:p>
      <w:pPr>
        <w:pStyle w:val="Heading3"/>
      </w:pPr>
      <w:r>
        <w:t xml:space="preserve">4.2.6 Phổ hiệu ứng theo nhóm thể chế và giới hạn của bằng chứng định hướng</w:t>
      </w:r>
    </w:p>
    <w:p>
      <w:pPr>
        <w:pStyle w:val="FirstParagraph"/>
      </w:pPr>
      <w:r>
        <w:t xml:space="preserve">Bảng hệ số gộp theo từng nhóm ICRV cho thấy một kết quả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phổ thể chế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phổ thể chế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187"/>
    <w:bookmarkStart w:id="188"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487</m:t>
        </m:r>
      </m:oMath>
      <w:r>
        <w:t xml:space="preserve">,</w:t>
      </w:r>
      <w:r>
        <w:t xml:space="preserve"> </w:t>
      </w:r>
      <m:oMath>
        <m:r>
          <m:t>p</m:t>
        </m:r>
        <m:r>
          <m:rPr>
            <m:sty m:val="p"/>
          </m:rPr>
          <m:t>=</m:t>
        </m:r>
        <m:r>
          <m:rPr>
            <m:sty m:val="p"/>
          </m:rPr>
          <m:t>,</m:t>
        </m:r>
        <m:r>
          <m:t>052</m:t>
        </m:r>
      </m:oMath>
      <w:r>
        <w:t xml:space="preserve">) trong khi kiểm định thứ hạng Begg–Mazumdar lại có ý nghĩa (</w:t>
      </w:r>
      <m:oMath>
        <m:r>
          <m:t>τ</m:t>
        </m:r>
        <m:r>
          <m:rPr>
            <m:sty m:val="p"/>
          </m:rPr>
          <m:t>=</m:t>
        </m:r>
        <m:r>
          <m:rPr>
            <m:sty m:val="p"/>
          </m:rPr>
          <m:t>−</m:t>
        </m:r>
        <m:r>
          <m:t>0</m:t>
        </m:r>
        <m:r>
          <m:rPr>
            <m:sty m:val="p"/>
          </m:rPr>
          <m:t>,</m:t>
        </m:r>
        <m:r>
          <m:t>132</m:t>
        </m:r>
      </m:oMath>
      <w:r>
        <w:t xml:space="preserve">,</w:t>
      </w:r>
      <w:r>
        <w:t xml:space="preserve"> </w:t>
      </w:r>
      <m:oMath>
        <m:r>
          <m:t>p</m:t>
        </m:r>
        <m:r>
          <m:rPr>
            <m:sty m:val="p"/>
          </m:rPr>
          <m:t>=</m:t>
        </m:r>
        <m:r>
          <m:rPr>
            <m:sty m:val="p"/>
          </m:rPr>
          <m:t>,</m:t>
        </m:r>
        <m:r>
          <m:t>001</m:t>
        </m:r>
      </m:oMath>
      <w:r>
        <w:t xml:space="preserve">), nên bằng chứng bất đối xứng dựa trên Egger đơn lẻ không được khẳng định. Quy trình cắt-và-điền (trim-and-fill) gán thêm 57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018</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44.782</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Nhìn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188"/>
    <w:bookmarkEnd w:id="189"/>
    <w:bookmarkStart w:id="199" w:name="Xae571c1410747d630a72c4d12985bac375822ae"/>
    <w:p>
      <w:pPr>
        <w:pStyle w:val="Heading2"/>
      </w:pPr>
      <w:r>
        <w:t xml:space="preserve">4.3 Kết quả bối cảnh thể chế tiên tiến đổi mới: Singapore (P4)</w:t>
      </w:r>
    </w:p>
    <w:bookmarkStart w:id="190"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hoạt động kinh doanh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190"/>
    <w:bookmarkStart w:id="191"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(bao gồm cả Bậc 1 và Bậc 2 của chỉ số DAI) cho thấy hiệu ứng khuếch đại (amplification) tại mức FSTS cao: hệ số tương tác</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91"/>
    <w:bookmarkStart w:id="192"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192"/>
    <w:bookmarkStart w:id="193"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mô hình cuối.</w:t>
      </w:r>
    </w:p>
    <w:bookmarkEnd w:id="193"/>
    <w:bookmarkStart w:id="194"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mô hình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194"/>
    <w:bookmarkStart w:id="195" w:name="Xb551b0690edc79caca1b03b187a531e4ea21dea"/>
    <w:p>
      <w:pPr>
        <w:pStyle w:val="Heading3"/>
      </w:pPr>
      <w:r>
        <w:t xml:space="preserve">4.3.6 Cơ chế lá chắn số: tương tác Bậc 1–Bậc 2 và hiệu ứng biên theo cường độ xuất khẩu</w:t>
      </w:r>
    </w:p>
    <w:p>
      <w:pPr>
        <w:pStyle w:val="FirstParagraph"/>
      </w:pPr>
      <w:r>
        <w:t xml:space="preserve">Bằng chứng mạnh nhất về vai trò của DAI xuất hiện ở các mô hình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mô hình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mô hình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95"/>
    <w:bookmarkStart w:id="196"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196"/>
    <w:bookmarkStart w:id="197"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mô hình chính trên mẫu Singapore. Hạng cường độ xuất khẩu tuyến tính dương và có ý nghĩa cao ở mọi mô hình,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mô hình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mô hình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m:oMath>
              <m:sSup>
                <m:e>
                  <m:r>
                    <m:rPr>
                      <m:nor/>
                      <m:sty m:val="p"/>
                    </m:rPr>
                    <m:t>FSTS</m:t>
                  </m:r>
                </m:e>
                <m:sup>
                  <m:r>
                    <m:t>2</m:t>
                  </m:r>
                </m:sup>
              </m:sSup>
            </m:oMath>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m:oMath>
              <m:r>
                <m:rPr>
                  <m:nor/>
                  <m:sty m:val="p"/>
                </m:rPr>
                <m:t>FSTS</m:t>
              </m:r>
              <m:r>
                <m:rPr>
                  <m:sty m:val="p"/>
                </m:rPr>
                <m:t>×</m:t>
              </m:r>
              <m:r>
                <m:rPr>
                  <m:nor/>
                  <m:sty m:val="p"/>
                </m:rPr>
                <m:t>DAI</m:t>
              </m:r>
            </m:oMath>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m:oMath>
              <m:sSup>
                <m:e>
                  <m:r>
                    <m:rPr>
                      <m:nor/>
                      <m:sty m:val="p"/>
                    </m:rPr>
                    <m:t>FSTS</m:t>
                  </m:r>
                </m:e>
                <m:sup>
                  <m:r>
                    <m:t>2</m:t>
                  </m:r>
                </m:sup>
              </m:sSup>
              <m:r>
                <m:rPr>
                  <m:sty m:val="p"/>
                </m:rPr>
                <m:t>×</m:t>
              </m:r>
              <m:r>
                <m:rPr>
                  <m:nor/>
                  <m:sty m:val="p"/>
                </m:rPr>
                <m:t>DAI</m:t>
              </m:r>
            </m:oMath>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mô hình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mô hình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197"/>
    <w:bookmarkStart w:id="198"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mô hình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mô hình OLS được giữ làm mô hình chính. Tóm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Bậc 2 sẵn có về mặt thể chế làm cơ chế mở rộng quy mô có điều kiện trở nên nhận diện được về thực nghiệm.</w:t>
      </w:r>
    </w:p>
    <w:p>
      <w:r>
        <w:pict>
          <v:rect style="width:0;height:1.5pt" o:hralign="center" o:hrstd="t" o:hr="t"/>
        </w:pict>
      </w:r>
    </w:p>
    <w:bookmarkEnd w:id="198"/>
    <w:bookmarkEnd w:id="199"/>
    <w:bookmarkStart w:id="208" w:name="Xabe361c2d5961cf19ce7ab2bd5d9bc6d758140a"/>
    <w:p>
      <w:pPr>
        <w:pStyle w:val="Heading2"/>
      </w:pPr>
      <w:r>
        <w:t xml:space="preserve">4.4 Kết quả bối cảnh thể chế trung bình cao: Trung Quốc, 2012–2024 (P5)</w:t>
      </w:r>
    </w:p>
    <w:bookmarkStart w:id="200"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kinh doanh của doanh nghiệp. Điểm điểm uốn được ước lượng tại:</w:t>
      </w:r>
    </w:p>
    <w:p>
      <w:pPr>
        <w:numPr>
          <w:ilvl w:val="0"/>
          <w:numId w:val="1015"/>
        </w:numPr>
        <w:pStyle w:val="Compact"/>
      </w:pPr>
      <w:r>
        <w:rPr>
          <w:bCs/>
          <w:b/>
        </w:rPr>
        <w:t xml:space="preserve">Năm 2012</w:t>
      </w:r>
      <w:r>
        <w:t xml:space="preserve">: TP = 49,37% FSTS</w:t>
      </w:r>
    </w:p>
    <w:p>
      <w:pPr>
        <w:numPr>
          <w:ilvl w:val="0"/>
          <w:numId w:val="1015"/>
        </w:numPr>
        <w:pStyle w:val="Compact"/>
      </w:pPr>
      <w:r>
        <w:rPr>
          <w:bCs/>
          <w:b/>
        </w:rPr>
        <w:t xml:space="preserve">Năm 2024</w:t>
      </w:r>
      <w:r>
        <w:t xml:space="preserve">: TP = 47,19% FSTS</w:t>
      </w:r>
    </w:p>
    <w:p>
      <w:pPr>
        <w:numPr>
          <w:ilvl w:val="0"/>
          <w:numId w:val="1015"/>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200"/>
    <w:bookmarkStart w:id="201"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trung bình cao như Trung Quốc, cơ chế căn bản của quan hệ quốc tế hóa và hiệu quả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201"/>
    <w:bookmarkStart w:id="202" w:name="vai-trò-của-tci-và-dai"/>
    <w:p>
      <w:pPr>
        <w:pStyle w:val="Heading3"/>
      </w:pPr>
      <w:r>
        <w:t xml:space="preserve">4.4.3 Vai trò của TCI và DAI</w:t>
      </w:r>
    </w:p>
    <w:p>
      <w:pPr>
        <w:pStyle w:val="FirstParagraph"/>
      </w:pPr>
      <w:r>
        <w:t xml:space="preserve">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không đạt ý nghĩa thống kê (điều tiết không có ý nghĩa,</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202"/>
    <w:bookmarkStart w:id="203" w:name="Xff6260f0292f1de2c718a7cc22e284da4d4195e"/>
    <w:p>
      <w:pPr>
        <w:pStyle w:val="Heading3"/>
      </w:pPr>
      <w:r>
        <w:t xml:space="preserve">4.4.4 Bộ hệ số mô hình ngưỡng chính (M2) và độ lớn kinh tế</w:t>
      </w:r>
    </w:p>
    <w:p>
      <w:pPr>
        <w:pStyle w:val="FirstParagraph"/>
      </w:pPr>
      <w:r>
        <w:t xml:space="preserve">Mô hình ngưỡng chính M2 (mô hình</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203"/>
    <w:bookmarkStart w:id="204"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mô hình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204"/>
    <w:bookmarkStart w:id="205"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mô hình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Cần lưu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205"/>
    <w:bookmarkStart w:id="206"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206"/>
    <w:bookmarkStart w:id="207"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mô hình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207"/>
    <w:bookmarkEnd w:id="208"/>
    <w:bookmarkStart w:id="220" w:name="Xdbd5cc67084304ba85b73781c0cb0c00b74055b"/>
    <w:p>
      <w:pPr>
        <w:pStyle w:val="Heading2"/>
      </w:pPr>
      <w:r>
        <w:t xml:space="preserve">4.5 Kết quả bối cảnh chuyển đổi bậc thấp–trung: Việt Nam (P3)</w:t>
      </w:r>
    </w:p>
    <w:bookmarkStart w:id="209"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M2, mô hình phi tuyến chính (mẫu gộp,</w:t>
      </w:r>
      <w:r>
        <w:t xml:space="preserve"> </w:t>
      </w:r>
      <m:oMath>
        <m:r>
          <m:t>N</m:t>
        </m:r>
        <m:r>
          <m:rPr>
            <m:sty m:val="p"/>
          </m:rPr>
          <m:t>=</m:t>
        </m:r>
        <m:r>
          <m:t>2.958</m:t>
        </m:r>
      </m:oMath>
      <w:r>
        <w:t xml:space="preserve">),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984</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909</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209"/>
    <w:bookmarkStart w:id="210"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210"/>
    <w:bookmarkStart w:id="211" w:name="điều-tiết-bởi-tci-tích-cực-và-có-ý-nghĩa"/>
    <w:p>
      <w:pPr>
        <w:pStyle w:val="Heading3"/>
      </w:pPr>
      <w:r>
        <w:t xml:space="preserve">4.5.3 Điều tiết bởi TCI: Tích cực và có ý nghĩa</w:t>
      </w:r>
    </w:p>
    <w:p>
      <w:pPr>
        <w:pStyle w:val="FirstParagraph"/>
      </w:pPr>
      <w:r>
        <w:t xml:space="preserve">Mô hình M3 với 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211"/>
    <w:bookmarkStart w:id="212" w:name="điều-tiết-bởi-dai-không-có-ý-nghĩa"/>
    <w:p>
      <w:pPr>
        <w:pStyle w:val="Heading3"/>
      </w:pPr>
      <w:r>
        <w:t xml:space="preserve">4.5.4 Điều tiết bởi DAI: Không có ý nghĩa</w:t>
      </w:r>
    </w:p>
    <w:p>
      <w:pPr>
        <w:pStyle w:val="FirstParagraph"/>
      </w:pPr>
      <w:r>
        <w:t xml:space="preserve">Mô hình M4 với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(chỉ bao gồm Bậc 1 DAI do giới hạn đo lường WBES trong các làn sóng này) cho kết quả yếu dương nhưng không có ý nghĩa thống kê. Kết quả này có thể phản ánh hạn chế về đo lường: Bậc 1 DAI chỉ nắm bắt mức độ chấp nhận số bề mặt (website, email, online sales) chứ không đo lường được chiều sâu năng lực số. Với dữ liệu WBES Việt Nam chỉ cung cấp Bậc 1, không đủ phân biệt để phát hiện hiệu ứng điều tiết tinh tế hơn.</w:t>
      </w:r>
    </w:p>
    <w:bookmarkEnd w:id="212"/>
    <w:bookmarkStart w:id="213"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213"/>
    <w:bookmarkStart w:id="214"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214"/>
    <w:bookmarkStart w:id="215"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(biên tham gia), chứ không phải độ cong cường độ trong nhóm doanh nghiệp xuất khẩu (biên cường độ).</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Bậc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215"/>
    <w:bookmarkStart w:id="216"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Đây chính là cơ sở lý thuyết giải thích vì sao điểm uốn Việt Nam (39–46%) nằm thấp hơn đáng kể so với điểm uốn Singapore (~88,6%) ở biên thể chế mạnh nhất.</w:t>
      </w:r>
    </w:p>
    <w:bookmarkEnd w:id="216"/>
    <w:bookmarkStart w:id="217"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mô hình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217"/>
    <w:bookmarkStart w:id="218" w:name="X74521efb953a9ebb566aa1fa0342a1606d94df2"/>
    <w:p>
      <w:pPr>
        <w:pStyle w:val="Heading3"/>
      </w:pPr>
      <w:r>
        <w:t xml:space="preserve">4.5.10 Củng cố độ vững: tách ngành, mô hình bậc ba và bộ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mô hình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mô hình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mô hình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218"/>
    <w:bookmarkStart w:id="219"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Cách đọc này định vị đóng góp của P3 vượt khỏi một báo cáo điểm uốn đơn lẻ: nó chuyển trọng tâm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219"/>
    <w:bookmarkEnd w:id="220"/>
    <w:bookmarkStart w:id="232" w:name="X561afa853383c674354c1acb167a55cae3a018f"/>
    <w:p>
      <w:pPr>
        <w:pStyle w:val="Heading2"/>
      </w:pPr>
      <w:r>
        <w:t xml:space="preserve">4.6 Kết quả kiểm định toàn mẫu đa bối cảnh châu Á (P7)</w:t>
      </w:r>
    </w:p>
    <w:bookmarkStart w:id="221"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mô hình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mô hình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mô hình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Mô hình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w:t>
            </w:r>
            <w:r>
              <w:t xml:space="preserve"> </w:t>
            </w:r>
            <m:oMath>
              <m:sSup>
                <m:e>
                  <m:r>
                    <m:rPr>
                      <m:nor/>
                      <m:sty m:val="p"/>
                    </m:rPr>
                    <m:t>FSTS</m:t>
                  </m:r>
                </m:e>
                <m:sup>
                  <m:r>
                    <m:t>2</m:t>
                  </m:r>
                </m:sup>
              </m:sSup>
            </m:oMath>
            <w:r>
              <w:t xml:space="preserve">,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79.080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đặc tả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221"/>
    <w:bookmarkStart w:id="225"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hình ảnh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mất cấu trúc</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phổ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phổ thể chế</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phổ thể chế</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223" name="Picture"/>
            <a:graphic>
              <a:graphicData uri="http://schemas.openxmlformats.org/drawingml/2006/picture">
                <pic:pic>
                  <pic:nvPicPr>
                    <pic:cNvPr descr="figures/fig_4_x_ip_curves_icrv_gradient.png" id="224" name="Picture"/>
                    <pic:cNvPicPr>
                      <a:picLocks noChangeArrowheads="1" noChangeAspect="1"/>
                    </pic:cNvPicPr>
                  </pic:nvPicPr>
                  <pic:blipFill>
                    <a:blip r:embed="rId222"/>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phổ thể chế (Nhóm IV, điểm uốn 43,0%); ở biên trên (Nhóm I) đường cong duỗi thẳng gần tuyến tính dương; ở biên dưới (Nhóm V và VI) quan hệ mất cấu trúc, riêng SIDS chuyển sang quan hệ âm theo mức (FIP, H1b, theo đặc tả mức của P8).</w:t>
      </w:r>
      <w:r>
        <w:t xml:space="preserve"> </w:t>
      </w:r>
      <w:r>
        <w:rPr>
          <w:iCs/>
          <w:i/>
        </w:rPr>
        <w:t xml:space="preserve">Nguồn: minh họa của tác giả từ kết quả ước lượng 50 nền và P4, P8.</w:t>
      </w:r>
    </w:p>
    <w:bookmarkEnd w:id="225"/>
    <w:bookmarkStart w:id="226" w:name="điều-tiết-bởi-tci-và-dai-trong-toàn-mẫu"/>
    <w:p>
      <w:pPr>
        <w:pStyle w:val="Heading3"/>
      </w:pPr>
      <w:r>
        <w:t xml:space="preserve">4.6.3 Điều tiết bởi TCI và DAI trong toàn mẫu</w:t>
      </w:r>
    </w:p>
    <w:p>
      <w:pPr>
        <w:numPr>
          <w:ilvl w:val="0"/>
          <w:numId w:val="1016"/>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16"/>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 Khoảng cách độ lớn giữa hai ước lượng (3,119 ở Singapore so với 0,252 ở mẫu gộp) không phải mâu thuẫn mà phản ánh bản chất trung bình hóa của mẫu gộp: phần lớn 50 nền chỉ đo được DAI ở Bậc 1 (hiện diện web), nơi công cụ số chưa đủ chiều sâu để uốn đường cong, trong khi hiệu ứng uốn mạnh ở Singapore gắn với năng lực số Bậc 2 hiếm có trong mẫu; gộp hai loại bối cảnh này lại làm pha loãng hiệu ứng uốn về một trung bình không có ý nghĩa, đúng như logic phụ thuộc bối cảnh của khung CDCM dự báo chứ không phủ định cơ chế lá chắn số.</w:t>
      </w:r>
    </w:p>
    <w:bookmarkEnd w:id="226"/>
    <w:bookmarkStart w:id="227"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Mô hình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(mô hình M2), đường cong định hình chữ U ngược với điểm uốn ở mức 51,5% FSTS. Việc đưa vào lần lượt các biến kiểm soát nhân khẩu doanh nghiệp rồi khối năng lực (TCI và DAI) kéo điểm uốn xuống 43,8% rồi 43,6%, chính là điểm uốn của mô hình chính (M5). Sự dịch chuyển xuống khoảng bảy điểm phần trăm này có ý nghĩa thực chất: một phần độ cong biểu kiến ở mô hình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227"/>
    <w:bookmarkStart w:id="228"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 FSTS²×ICRV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phổ liên tục. Cụ thể hơn, điều tiết thể chế là điều tiết về sự tồn tại của dạng hàm, không phải điều tiết về vị trí của một điểm uốn phổ quát.</w:t>
      </w:r>
    </w:p>
    <w:bookmarkEnd w:id="228"/>
    <w:bookmarkStart w:id="229"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Tổng hợp ba mức bằng chứng, gồm diễn tiến điểm uốn ổn định trong dải 43,6–51,5%, tính trơ của điểm uốn trước năng lực và đặc trưng quản lý, và cấu trúc ba vùng theo chế độ thể chế, hội tụ về một cách đọc thống nhất: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phổ liên tục mà như ba vùng rời rạc. Ở giữa phổ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mất cấu trúc và đảo dấu ở nhóm SIDS thành hình phạt quốc tế hóa cưỡng bức. Cách đọc ba vùng này dung hòa các kết quả đơn quốc gia tưởng như mâu thuẫn của luận án trong một khung ước lượng hài hòa trên 50 nền kinh tế.</w:t>
      </w:r>
    </w:p>
    <w:bookmarkEnd w:id="229"/>
    <w:bookmarkStart w:id="230"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50 nền và các ước lượng đơn quốc gia độc lập hội tụ trong một dải hẹp ở từng vùng dù được ước lượng trên các mẫu, công cụ khảo sát và mô hình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rằng điểm uốn vùng giữa là một quy luật cấu trúc chứ không phải tạo tác của một mẫu đơn lẻ. Cần đọc đây như một</w:t>
      </w:r>
      <w:r>
        <w:t xml:space="preserve"> </w:t>
      </w:r>
      <w:r>
        <w:rPr>
          <w:bCs/>
          <w:b/>
        </w:rPr>
        <w:t xml:space="preserve">hội tụ dải</w:t>
      </w:r>
      <w:r>
        <w:t xml:space="preserve"> </w:t>
      </w:r>
      <w:r>
        <w:t xml:space="preserve">(trong khoảng</w:t>
      </w:r>
      <w:r>
        <w:t xml:space="preserve"> </w:t>
      </w:r>
      <m:oMath>
        <m:r>
          <m:rPr>
            <m:sty m:val="p"/>
          </m:rPr>
          <m:t>±</m:t>
        </m:r>
        <m:r>
          <m:t>5</m:t>
        </m:r>
      </m:oMath>
      <w:r>
        <w:t xml:space="preserve"> </w:t>
      </w:r>
      <w:r>
        <w:t xml:space="preserve">điểm phần trăm quanh mốc Nhóm IV) chứ không phải một sự trùng khớp điểm: điểm uốn Trung Quốc (</w:t>
      </w:r>
      <m:oMath>
        <m:r>
          <m:rPr>
            <m:sty m:val="p"/>
          </m:rPr>
          <m:t>≈</m:t>
        </m:r>
        <m:r>
          <m:t>48</m:t>
        </m:r>
        <m:r>
          <m:rPr>
            <m:sty m:val="p"/>
          </m:rPr>
          <m:t>,</m:t>
        </m:r>
        <m:r>
          <m:t>8</m:t>
        </m:r>
        <m:r>
          <m:rPr>
            <m:sty m:val="p"/>
          </m:rPr>
          <m:t>%</m:t>
        </m:r>
      </m:oMath>
      <w:r>
        <w:t xml:space="preserve">, Nhóm III) nằm</w:t>
      </w:r>
      <w:r>
        <w:t xml:space="preserve"> </w:t>
      </w:r>
      <w:r>
        <w:rPr>
          <w:bCs/>
          <w:b/>
        </w:rPr>
        <w:t xml:space="preserve">lân cận</w:t>
      </w:r>
      <w:r>
        <w:t xml:space="preserve"> </w:t>
      </w:r>
      <w:r>
        <w:t xml:space="preserve">dải này chứ không trùng, và điểm uốn Ấn Độ di động ngay trong Nhóm IV theo thời gian (61,8% năm 2014 → 40,7% năm 2022; Mục 4.8), cho thấy vị trí điểm uốn theo chế độ là một dải đặc trưng có biến thiên nội nhóm chứ không phải một hằng số cấu trúc tuyệt đối.</w:t>
      </w:r>
    </w:p>
    <w:p>
      <w:pPr>
        <w:pStyle w:val="BodyText"/>
      </w:pPr>
      <w:r>
        <w:t xml:space="preserve">Ở biên trên của phổ thể chế,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không chỉ mô tả ba hình thái đường cong mà ánh xạ ba cơ chế kinh tế khác nhau: chi phí điều phối bám ngưỡng ở vùng giữa, chọn lọc theo năng suất ở biên trên, và hình phạt quốc tế hóa cưỡng bức ở biên dưới.</w:t>
      </w:r>
    </w:p>
    <w:bookmarkEnd w:id="230"/>
    <w:bookmarkStart w:id="231" w:name="Xbc48eb33f38d4ec9c463095eb1ba56ea80d42ba"/>
    <w:p>
      <w:pPr>
        <w:pStyle w:val="Heading3"/>
      </w:pPr>
      <w:r>
        <w:t xml:space="preserve">4.6.8 Kiểm định độ vững bổ sung: cụm nhỏ, đa kiểm định, bất biến đo lường và chọn lọc</w:t>
      </w:r>
    </w:p>
    <w:p>
      <w:pPr>
        <w:pStyle w:val="FirstParagraph"/>
      </w:pPr>
      <w:r>
        <w:t xml:space="preserve">Bốn kiểm định độ vững bổ sung được thực hiện trực tiếp trên khung 50 nền để củng cố ranh giới suy luận của kết quả gộp (chi tiết tái lập ở Phụ lục dữ liệu, tệp</w:t>
      </w:r>
      <w:r>
        <w:t xml:space="preserve"> </w:t>
      </w:r>
      <w:r>
        <w:rPr>
          <w:rStyle w:val="VerbatimChar"/>
        </w:rPr>
        <w:t xml:space="preserve">p7_robustness_suite_2026-06.md</w:t>
      </w:r>
      <w:r>
        <w:t xml:space="preserve">).</w:t>
      </w:r>
    </w:p>
    <w:p>
      <w:pPr>
        <w:pStyle w:val="BodyText"/>
      </w:pPr>
      <w:r>
        <w:rPr>
          <w:bCs/>
          <w:b/>
        </w:rPr>
        <w:t xml:space="preserve">Thứ nhất, suy luận cụm nhỏ.</w:t>
      </w:r>
      <w:r>
        <w:t xml:space="preserve"> </w:t>
      </w:r>
      <w:r>
        <w:t xml:space="preserve">Vì ước lượng điểm uốn theo từng nhóm ICRV chỉ dựa trên 6–16 nền kinh tế (cụm), sai số chuẩn cụm CRV1 có xu hướng bác bỏ quá mức. Một kiểm định bootstrap cụm hoang dã (wild-cluster, Cameron–Gelbach–Miller, 2008; MacKinnon và Webb, 2017, trọng số Rademacher, B = 9.999, cụm theo nền kinh tế) cho thấy độ cong cấp nhóm nhạy cảm với số cụm: số hạng bậc hai của vùng chuyển đổi (Nhóm IV) vẫn mạnh nhất nhưng giá trị</w:t>
      </w:r>
      <w:r>
        <w:t xml:space="preserve"> </w:t>
      </w:r>
      <m:oMath>
        <m:r>
          <m:t>p</m:t>
        </m:r>
      </m:oMath>
      <w:r>
        <w:t xml:space="preserve"> </w:t>
      </w:r>
      <w:r>
        <w:t xml:space="preserve">nới rộng từ</w:t>
      </w:r>
      <w:r>
        <w:t xml:space="preserve"> </w:t>
      </w:r>
      <m:oMath>
        <m:r>
          <m:t>0</m:t>
        </m:r>
        <m:r>
          <m:rPr>
            <m:sty m:val="p"/>
          </m:rPr>
          <m:t>,</m:t>
        </m:r>
        <m:r>
          <m:t>001</m:t>
        </m:r>
      </m:oMath>
      <w:r>
        <w:t xml:space="preserve"> </w:t>
      </w:r>
      <w:r>
        <w:t xml:space="preserve">(CRV1) lên khoảng</w:t>
      </w:r>
      <w:r>
        <w:t xml:space="preserve"> </w:t>
      </w:r>
      <m:oMath>
        <m:r>
          <m:t>0</m:t>
        </m:r>
        <m:r>
          <m:rPr>
            <m:sty m:val="p"/>
          </m:rPr>
          <m:t>,</m:t>
        </m:r>
        <m:r>
          <m:t>10</m:t>
        </m:r>
      </m:oMath>
      <w:r>
        <w:t xml:space="preserve">, trong khi các nhóm Đang nổi và SIDS giữ nguyên không có ý nghĩa (</w:t>
      </w:r>
      <m:oMath>
        <m:sSub>
          <m:e>
            <m:r>
              <m:t>p</m:t>
            </m:r>
          </m:e>
          <m:sub>
            <m:r>
              <m:rPr>
                <m:nor/>
                <m:sty m:val="p"/>
              </m:rPr>
              <m:t>wild</m:t>
            </m:r>
          </m:sub>
        </m:sSub>
        <m:r>
          <m:rPr>
            <m:sty m:val="p"/>
          </m:rPr>
          <m:t>≈</m:t>
        </m:r>
        <m:r>
          <m:t>0</m:t>
        </m:r>
        <m:r>
          <m:rPr>
            <m:sty m:val="p"/>
          </m:rPr>
          <m:t>,</m:t>
        </m:r>
        <m:r>
          <m:t>33</m:t>
        </m:r>
      </m:oMath>
      <w:r>
        <w:t xml:space="preserve"> </w:t>
      </w:r>
      <w:r>
        <w:t xml:space="preserve">và</w:t>
      </w:r>
      <w:r>
        <w:t xml:space="preserve"> </w:t>
      </w:r>
      <m:oMath>
        <m:r>
          <m:t>0</m:t>
        </m:r>
        <m:r>
          <m:rPr>
            <m:sty m:val="p"/>
          </m:rPr>
          <m:t>,</m:t>
        </m:r>
        <m:r>
          <m:t>30</m:t>
        </m:r>
      </m:oMath>
      <w:r>
        <w:t xml:space="preserve">). Kết quả này xác nhận rằng suy luận hình thức về tính phi tuyến được neo đúng ở</w:t>
      </w:r>
      <w:r>
        <w:t xml:space="preserve"> </w:t>
      </w:r>
      <w:r>
        <w:rPr>
          <w:bCs/>
          <w:b/>
        </w:rPr>
        <w:t xml:space="preserve">cấp gộp</w:t>
      </w:r>
      <w:r>
        <w:t xml:space="preserve"> </w:t>
      </w:r>
      <w:r>
        <w:t xml:space="preserve">(mô hình M2 với 49 cụm,</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 và tam giác hóa với phân tích tổng hợp P6, chứ không đọc ra từ từng nhóm con ít cụm; các điểm uốn theo nhóm ICRV vì vậy được diễn giải như một phổ mô tả chứ không phải các kiểm định độc lập đủ công suất.</w:t>
      </w:r>
    </w:p>
    <w:p>
      <w:pPr>
        <w:pStyle w:val="BodyText"/>
      </w:pPr>
      <w:r>
        <w:rPr>
          <w:bCs/>
          <w:b/>
        </w:rPr>
        <w:t xml:space="preserve">Thứ hai, đa kiểm định.</w:t>
      </w:r>
      <w:r>
        <w:t xml:space="preserve"> </w:t>
      </w:r>
      <w:r>
        <w:t xml:space="preserve">Áp dụng hiệu chỉnh Holm và Bonferroni cho cả họ bốn số hạng tương tác năng lực số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T</m:t>
        </m:r>
        <m:r>
          <m:rPr>
            <m:sty m:val="p"/>
          </m:rPr>
          <m:t>C</m:t>
        </m:r>
        <m:r>
          <m:rPr>
            <m:sty m:val="p"/>
          </m:rPr>
          <m:t>I</m:t>
        </m:r>
      </m:oMath>
      <w:r>
        <w:t xml:space="preserve">,</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không số hạng nào có ý nghĩa ở mức thô (mọi</w:t>
      </w:r>
      <w:r>
        <w:t xml:space="preserve"> </w:t>
      </w:r>
      <m:oMath>
        <m:r>
          <m:t>p</m:t>
        </m:r>
        <m:r>
          <m:rPr>
            <m:sty m:val="p"/>
          </m:rPr>
          <m:t>≥</m:t>
        </m:r>
        <m:r>
          <m:t>0</m:t>
        </m:r>
        <m:r>
          <m:rPr>
            <m:sty m:val="p"/>
          </m:rPr>
          <m:t>,</m:t>
        </m:r>
        <m:r>
          <m:t>14</m:t>
        </m:r>
      </m:oMath>
      <w:r>
        <w:t xml:space="preserve">) và tất cả vẫn không có ý nghĩa sau hiệu chỉnh. Kết luận năng lực là yếu tố nâng mặt bằng chứ không uốn đường cong do đó không phải một âm tính giả sinh ra từ kiểm định lặp, mà vững trước hiệu chỉnh bảo thủ nhất.</w:t>
      </w:r>
    </w:p>
    <w:p>
      <w:pPr>
        <w:pStyle w:val="BodyText"/>
      </w:pPr>
      <w:r>
        <w:rPr>
          <w:bCs/>
          <w:b/>
        </w:rPr>
        <w:t xml:space="preserve">Thứ ba, bất biến đo lường.</w:t>
      </w:r>
      <w:r>
        <w:t xml:space="preserve"> </w:t>
      </w:r>
      <w:r>
        <w:t xml:space="preserve">Các mục đo của DAI Bậc 1 (hiện diện web) và TCI hiện diện cho khoảng</w:t>
      </w:r>
      <w:r>
        <w:t xml:space="preserve"> </w:t>
      </w:r>
      <m:oMath>
        <m:r>
          <m:t>99</m:t>
        </m:r>
        <m:r>
          <m:rPr>
            <m:sty m:val="p"/>
          </m:rPr>
          <m:t>%</m:t>
        </m:r>
      </m:oMath>
      <w:r>
        <w:t xml:space="preserve"> </w:t>
      </w:r>
      <w:r>
        <w:t xml:space="preserve">doanh nghiệp ở cả ba thế hệ lược đồ (PICS3, Standardized, BREADY/BEE), nên các cấu trúc hài hòa là so sánh được giữa các đợt; trung bình DAI tăng đơn điệu qua ba thế hệ (</w:t>
      </w:r>
      <m:oMath>
        <m:r>
          <m:t>0</m:t>
        </m:r>
        <m:r>
          <m:rPr>
            <m:sty m:val="p"/>
          </m:rPr>
          <m:t>,</m:t>
        </m:r>
        <m:r>
          <m:t>30</m:t>
        </m:r>
        <m:r>
          <m:rPr>
            <m:sty m:val="p"/>
          </m:rPr>
          <m:t>→</m:t>
        </m:r>
        <m:r>
          <m:t>0</m:t>
        </m:r>
        <m:r>
          <m:rPr>
            <m:sty m:val="p"/>
          </m:rPr>
          <m:t>,</m:t>
        </m:r>
        <m:r>
          <m:t>46</m:t>
        </m:r>
        <m:r>
          <m:rPr>
            <m:sty m:val="p"/>
          </m:rPr>
          <m:t>→</m:t>
        </m:r>
        <m:r>
          <m:t>0</m:t>
        </m:r>
        <m:r>
          <m:rPr>
            <m:sty m:val="p"/>
          </m:rPr>
          <m:t>,</m:t>
        </m:r>
        <m:r>
          <m:t>53</m:t>
        </m:r>
      </m:oMath>
      <w:r>
        <w:t xml:space="preserve">), nhất quán với khuếch tán số thực chất chứ không phải đứt gãy lược đồ. Các so sánh chéo đợt (P5 2012↔2024; P9 2014↔2025) do đó phản ánh thay đổi thực chất trên một mục bất biến.</w:t>
      </w:r>
    </w:p>
    <w:p>
      <w:pPr>
        <w:pStyle w:val="BodyText"/>
      </w:pPr>
      <w:r>
        <w:rPr>
          <w:bCs/>
          <w:b/>
        </w:rPr>
        <w:t xml:space="preserve">Thứ tư, chọn lọc tham gia xuất khẩu.</w:t>
      </w:r>
      <w:r>
        <w:t xml:space="preserve"> </w:t>
      </w:r>
      <w:r>
        <w:t xml:space="preserve">Một kiểm tra kiểu Heckman bổ sung tỷ số Mills nghịch đảo (từ probit tham gia xuất khẩu) vào phương trình kết quả: độ cong chữ U ngược và điểm uốn gần như không đổi (</w:t>
      </w:r>
      <m:oMath>
        <m:r>
          <m:rPr>
            <m:nor/>
            <m:sty m:val="p"/>
          </m:rPr>
          <m:t>TP</m:t>
        </m:r>
      </m:oMath>
      <w:r>
        <w:t xml:space="preserve"> </w:t>
      </w:r>
      <m:oMath>
        <m:r>
          <m:t>43</m:t>
        </m:r>
        <m:r>
          <m:rPr>
            <m:sty m:val="p"/>
          </m:rPr>
          <m:t>,</m:t>
        </m:r>
        <m:r>
          <m:t>6</m:t>
        </m:r>
        <m:r>
          <m:rPr>
            <m:sty m:val="p"/>
          </m:rPr>
          <m:t>%</m:t>
        </m:r>
        <m:r>
          <m:rPr>
            <m:sty m:val="p"/>
          </m:rPr>
          <m:t>→</m:t>
        </m:r>
        <m:r>
          <m:t>43</m:t>
        </m:r>
        <m:r>
          <m:rPr>
            <m:sty m:val="p"/>
          </m:rPr>
          <m:t>,</m:t>
        </m:r>
        <m:r>
          <m:t>5</m:t>
        </m:r>
        <m:r>
          <m:rPr>
            <m:sty m:val="p"/>
          </m:rPr>
          <m:t>%</m:t>
        </m:r>
      </m:oMath>
      <w:r>
        <w:t xml:space="preserve">;</w:t>
      </w:r>
      <w:r>
        <w:t xml:space="preserve"> </w:t>
      </w:r>
      <m:oMath>
        <m:sSub>
          <m:e>
            <m:r>
              <m:t>β</m:t>
            </m:r>
          </m:e>
          <m:sub>
            <m:r>
              <m:t>2</m:t>
            </m:r>
          </m:sub>
        </m:sSub>
        <m:r>
          <m:rPr>
            <m:sty m:val="p"/>
          </m:rPr>
          <m:t>=</m:t>
        </m:r>
        <m:r>
          <m:rPr>
            <m:sty m:val="p"/>
          </m:rPr>
          <m:t>−</m:t>
        </m:r>
        <m:r>
          <m:t>0</m:t>
        </m:r>
        <m:r>
          <m:rPr>
            <m:sty m:val="p"/>
          </m:rPr>
          <m:t>,</m:t>
        </m:r>
        <m:r>
          <m:t>732</m:t>
        </m:r>
      </m:oMath>
      <w:r>
        <w:t xml:space="preserve">,</w:t>
      </w:r>
      <w:r>
        <w:t xml:space="preserve"> </w:t>
      </w:r>
      <m:oMath>
        <m:r>
          <m:t>p</m:t>
        </m:r>
        <m:r>
          <m:rPr>
            <m:sty m:val="p"/>
          </m:rPr>
          <m:t>&lt;</m:t>
        </m:r>
        <m:r>
          <m:rPr>
            <m:sty m:val="p"/>
          </m:rPr>
          <m:t>,</m:t>
        </m:r>
        <m:r>
          <m:t>001</m:t>
        </m:r>
      </m:oMath>
      <w:r>
        <w:t xml:space="preserve">), và bản thân tỷ số Mills không có ý nghĩa (</w:t>
      </w:r>
      <m:oMath>
        <m:r>
          <m:rPr>
            <m:sty m:val="p"/>
          </m:rPr>
          <m:t>−</m:t>
        </m:r>
        <m:r>
          <m:t>0</m:t>
        </m:r>
        <m:r>
          <m:rPr>
            <m:sty m:val="p"/>
          </m:rPr>
          <m:t>,</m:t>
        </m:r>
        <m:r>
          <m:t>414</m:t>
        </m:r>
      </m:oMath>
      <w:r>
        <w:t xml:space="preserve">,</w:t>
      </w:r>
      <w:r>
        <w:t xml:space="preserve"> </w:t>
      </w:r>
      <m:oMath>
        <m:r>
          <m:t>p</m:t>
        </m:r>
        <m:r>
          <m:rPr>
            <m:sty m:val="p"/>
          </m:rPr>
          <m:t>=</m:t>
        </m:r>
        <m:r>
          <m:rPr>
            <m:sty m:val="p"/>
          </m:rPr>
          <m:t>,</m:t>
        </m:r>
        <m:r>
          <m:t>317</m:t>
        </m:r>
      </m:oMath>
      <w:r>
        <w:t xml:space="preserve">). Không có bằng chứng về thiên lệch tự chọn lọc kiểu Melitz trong độ cong ước lượng: chữ U ngược không phải tạo tác của việc doanh nghiệp năng suất cao tự chọn vào xuất khẩu.</w:t>
      </w:r>
    </w:p>
    <w:p>
      <w:r>
        <w:pict>
          <v:rect style="width:0;height:1.5pt" o:hralign="center" o:hrstd="t" o:hr="t"/>
        </w:pict>
      </w:r>
    </w:p>
    <w:bookmarkEnd w:id="231"/>
    <w:bookmarkEnd w:id="232"/>
    <w:bookmarkStart w:id="244" w:name="X42f69945b56833cca239d45dc5864a7be6f74d7"/>
    <w:p>
      <w:pPr>
        <w:pStyle w:val="Heading2"/>
      </w:pPr>
      <w:r>
        <w:t xml:space="preserve">4.7 Kết quả trường hợp biên SIDS: Các nền kinh tế đảo nhỏ đang phát triển (P8)</w:t>
      </w:r>
    </w:p>
    <w:bookmarkStart w:id="233"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Bảy nền này là các quốc đảo Thái Bình Dương theo phân loại của Ngân hàng Thế giới và danh sách SIDS Thái Bình Dương của Liên Hợp Quốc; Timor-Leste, dù từng bị một số bản dựng dữ liệu xếp nhầm vào nhóm,</w:t>
      </w:r>
      <w:r>
        <w:t xml:space="preserve"> </w:t>
      </w:r>
      <w:r>
        <w:rPr>
          <w:bCs/>
          <w:b/>
        </w:rPr>
        <w:t xml:space="preserve">không</w:t>
      </w:r>
      <w:r>
        <w:t xml:space="preserve"> </w:t>
      </w:r>
      <w:r>
        <w:t xml:space="preserve">thuộc nhóm quốc đảo Thái Bình Dương (Ngân hàng Thế giới xếp là một nền kinh tế Đông Á–Thái Bình Dương riêng) nên được loại khỏi phân tích. Mẫu phân tích, gồm các quan sát có đủ giá trị về năng suất lao động và cường độ xuất khẩu, có tổng</w:t>
      </w:r>
      <w:r>
        <w:t xml:space="preserve"> </w:t>
      </w:r>
      <m:oMath>
        <m:r>
          <m:t>N</m:t>
        </m:r>
        <m:r>
          <m:rPr>
            <m:sty m:val="p"/>
          </m:rPr>
          <m:t>=</m:t>
        </m:r>
        <m:r>
          <m:t>1.450</m:t>
        </m:r>
      </m:oMath>
      <w:r>
        <w:t xml:space="preserve"> </w:t>
      </w:r>
      <w:r>
        <w:t xml:space="preserve">doanh nghiệp trên bảy cụm quốc gia, trong đó 212 doanh nghiệp (14,6% mẫu) có xuất khẩu với cường độ dương. Cường độ xuất khẩu trung bình rất thấp, ở mức 0,054 (tức 5,4%),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233"/>
    <w:bookmarkStart w:id="237" w:name="X8b41a31634d542c3f7ca989a7d656c55bf04826"/>
    <w:p>
      <w:pPr>
        <w:pStyle w:val="Heading3"/>
      </w:pPr>
      <w:r>
        <w:t xml:space="preserve">4.7.2 Tan rã chữ U ngược tại các nền kinh tế đảo nhỏ</w:t>
      </w:r>
    </w:p>
    <w:p>
      <w:pPr>
        <w:pStyle w:val="FirstParagraph"/>
      </w:pPr>
      <w:r>
        <w:t xml:space="preserve">Phát hiện trọng tâm và khác biệt nhất của bối cảnh SIDS so với mọi nhóm ICRV khác là</w:t>
      </w:r>
      <w:r>
        <w:t xml:space="preserve"> </w:t>
      </w:r>
      <w:r>
        <w:rPr>
          <w:bCs/>
          <w:b/>
        </w:rPr>
        <w:t xml:space="preserve">việc dạng chữ U ngược mất cấu trúc</w:t>
      </w:r>
      <w:r>
        <w:t xml:space="preserve">. Trên mẫu đầy đủ bảy nền kinh tế đảo nhỏ Thái Bình Dương (</w:t>
      </w:r>
      <m:oMath>
        <m:r>
          <m:t>N</m:t>
        </m:r>
        <m:r>
          <m:rPr>
            <m:sty m:val="p"/>
          </m:rPr>
          <m:t>=</m:t>
        </m:r>
        <m:r>
          <m:t>1.450</m:t>
        </m:r>
      </m:oMath>
      <w:r>
        <w:t xml:space="preserve"> </w:t>
      </w:r>
      <w:r>
        <w:t xml:space="preserve">doanh nghiệp, bảy cụm quốc gia), ước lượng bằng đúng quy trình hài hòa hóa của P7 (biến phụ thuộc là năng suất lao động chuẩn hóa z trong từng cặp nền × năm, hiệu ứng cố định nền và năm) với suy luận few-cluster hợp lệ bằng bootstrap cụm hoang dã (Cameron, Gelbach và Miller, 2008; MacKinnon và Webb, 2017; B = 9.999),</w:t>
      </w:r>
      <w:r>
        <w:t xml:space="preserve"> </w:t>
      </w:r>
      <w:r>
        <w:rPr>
          <w:bCs/>
          <w:b/>
        </w:rPr>
        <w:t xml:space="preserve">cả độ cong lẫn độ dốc của FSTS đều không có ý nghĩa thống kê</w:t>
      </w:r>
      <w:r>
        <w:t xml:space="preserve">: độ dốc tuyến tính</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ở mô hình tuyến tính, và số hạng bậc hai</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 </w:t>
      </w:r>
      <w:r>
        <w:t xml:space="preserve">chỉ đạt ý nghĩa biên (</w:t>
      </w:r>
      <m:oMath>
        <m:sSub>
          <m:e>
            <m:r>
              <m:t>p</m:t>
            </m:r>
          </m:e>
          <m:sub>
            <m:r>
              <m:rPr>
                <m:nor/>
                <m:sty m:val="p"/>
              </m:rPr>
              <m:t>wild</m:t>
            </m:r>
          </m:sub>
        </m:sSub>
        <m:r>
          <m:rPr>
            <m:sty m:val="p"/>
          </m:rPr>
          <m:t>=</m:t>
        </m:r>
        <m:r>
          <m:rPr>
            <m:sty m:val="p"/>
          </m:rPr>
          <m:t>,</m:t>
        </m:r>
        <m:r>
          <m:t>082</m:t>
        </m:r>
      </m:oMath>
      <w:r>
        <w:t xml:space="preserve">). Các điều kiện Lind–Mehlum cho một chữ U ngược thực sự không được thỏa, và không tồn tại cực đại nội vùng. Điều này tương phản sắc nét với chế độ chuyển đổi lục địa (Nhóm IV) nơi cùng mô hình cho chữ U ngược mạnh và rất có ý nghĩa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012</m:t>
        </m:r>
      </m:oMath>
      <w:r>
        <w:t xml:space="preserve">,</w:t>
      </w:r>
      <w:r>
        <w:t xml:space="preserve"> </w:t>
      </w:r>
      <m:oMath>
        <m:r>
          <m:t>p</m:t>
        </m:r>
        <m:r>
          <m:rPr>
            <m:sty m:val="p"/>
          </m:rPr>
          <m:t>&lt;</m:t>
        </m:r>
        <m:r>
          <m:rPr>
            <m:sty m:val="p"/>
          </m:rPr>
          <m:t>,</m:t>
        </m:r>
        <m:r>
          <m:t>001</m:t>
        </m:r>
      </m:oMath>
      <w:r>
        <w:t xml:space="preserve">):</w:t>
      </w:r>
      <w:r>
        <w:t xml:space="preserve"> </w:t>
      </w:r>
      <w:r>
        <w:rPr>
          <w:bCs/>
          <w:b/>
        </w:rPr>
        <w:t xml:space="preserve">dạng hàm chữ U ngược, vốn tổ chức cả tài liệu I–P, không khái quát được tới biên cực đoan.</w:t>
      </w:r>
    </w:p>
    <w:p>
      <w:pPr>
        <w:pStyle w:val="BodyText"/>
      </w:pPr>
      <w:r>
        <w:t xml:space="preserve">Một dấu hiệu</w:t>
      </w:r>
      <w:r>
        <w:t xml:space="preserve"> </w:t>
      </w:r>
      <w:r>
        <w:rPr>
          <w:bCs/>
          <w:b/>
        </w:rPr>
        <w:t xml:space="preserve">gợi ý</w:t>
      </w:r>
      <w:r>
        <w:t xml:space="preserve"> </w:t>
      </w:r>
      <w:r>
        <w:t xml:space="preserve">(chỉ ở mức biên ý nghĩa) xuất hiện khi giữ cố định năng lực doanh nghiệp (mô hình M3): độ cong chuyển dương,</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051</m:t>
        </m:r>
      </m:oMath>
      <w:r>
        <w:t xml:space="preserve"> </w:t>
      </w:r>
      <w:r>
        <w:t xml:space="preserve">(</w:t>
      </w:r>
      <m:oMath>
        <m:sSub>
          <m:e>
            <m:r>
              <m:t>p</m:t>
            </m:r>
          </m:e>
          <m:sub>
            <m:r>
              <m:rPr>
                <m:nor/>
                <m:sty m:val="p"/>
              </m:rPr>
              <m:t>wild</m:t>
            </m:r>
          </m:sub>
        </m:sSub>
        <m:r>
          <m:rPr>
            <m:sty m:val="p"/>
          </m:rPr>
          <m:t>=</m:t>
        </m:r>
        <m:r>
          <m:rPr>
            <m:sty m:val="p"/>
          </m:rPr>
          <m:t>,</m:t>
        </m:r>
        <m:r>
          <m:t>056</m:t>
        </m:r>
      </m:oMath>
      <w:r>
        <w:t xml:space="preserve">) kèm số hạng tuyến tính âm</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852</m:t>
        </m:r>
      </m:oMath>
      <w:r>
        <w:t xml:space="preserve"> </w:t>
      </w:r>
      <w:r>
        <w:t xml:space="preserve">(</w:t>
      </w:r>
      <m:oMath>
        <m:sSub>
          <m:e>
            <m:r>
              <m:t>p</m:t>
            </m:r>
          </m:e>
          <m:sub>
            <m:r>
              <m:rPr>
                <m:nor/>
                <m:sty m:val="p"/>
              </m:rPr>
              <m:t>wild</m:t>
            </m:r>
          </m:sub>
        </m:sSub>
        <m:r>
          <m:rPr>
            <m:sty m:val="p"/>
          </m:rPr>
          <m:t>=</m:t>
        </m:r>
        <m:r>
          <m:rPr>
            <m:sty m:val="p"/>
          </m:rPr>
          <m:t>,</m:t>
        </m:r>
        <m:r>
          <m:t>024</m:t>
        </m:r>
      </m:oMath>
      <w:r>
        <w:t xml:space="preserve">), hàm ý một</w:t>
      </w:r>
      <w:r>
        <w:t xml:space="preserve"> </w:t>
      </w:r>
      <w:r>
        <w:rPr>
          <w:bCs/>
          <w:b/>
        </w:rPr>
        <w:t xml:space="preserve">vùng phạt năng suất trong dải cường độ xuất khẩu thấp đến trung bình</w:t>
      </w:r>
      <w:r>
        <w:t xml:space="preserve"> </w:t>
      </w:r>
      <w:r>
        <w:t xml:space="preserve">— đúng vùng mà gần như toàn bộ doanh nghiệp đảo nhỏ hoạt động — phù hợp với cơ chế hình phạt quốc tế hóa cưỡng bức (FIP). Tuy nhiên, do chỉ đạt ý nghĩa biên và số cụm nhỏ, luận án</w:t>
      </w:r>
      <w:r>
        <w:t xml:space="preserve"> </w:t>
      </w:r>
      <w:r>
        <w:rPr>
          <w:bCs/>
          <w:b/>
        </w:rPr>
        <w:t xml:space="preserve">không khẳng định một sự đảo chiều dạng hàm</w:t>
      </w:r>
      <w:r>
        <w:t xml:space="preserve"> </w:t>
      </w:r>
      <w:r>
        <w:t xml:space="preserve">mà chỉ ghi nhận xu hướng này một cách thận trọng. Năng lực công nghệ nâng mặt bằng năng suất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064</m:t>
        </m:r>
      </m:oMath>
      <w:r>
        <w:t xml:space="preserve">,</w:t>
      </w:r>
      <w:r>
        <w:t xml:space="preserve"> </w:t>
      </w:r>
      <m:oMath>
        <m:sSub>
          <m:e>
            <m:r>
              <m:t>p</m:t>
            </m:r>
          </m:e>
          <m:sub>
            <m:r>
              <m:rPr>
                <m:nor/>
                <m:sty m:val="p"/>
              </m:rPr>
              <m:t>wild</m:t>
            </m:r>
          </m:sub>
        </m:sSub>
        <m:r>
          <m:rPr>
            <m:sty m:val="p"/>
          </m:rPr>
          <m:t>=</m:t>
        </m:r>
        <m:r>
          <m:rPr>
            <m:sty m:val="p"/>
          </m:rPr>
          <m:t>,</m:t>
        </m:r>
        <m:r>
          <m:t>036</m:t>
        </m:r>
      </m:oMath>
      <w:r>
        <w:t xml:space="preserve">) nhưng không khôi phục dạng chữ U ngược.</w:t>
      </w:r>
    </w:p>
    <w:p>
      <w:pPr>
        <w:pStyle w:val="CaptionedFigure"/>
      </w:pPr>
      <w:r>
        <w:drawing>
          <wp:inline>
            <wp:extent cx="5753100" cy="2563881"/>
            <wp:effectExtent b="0" l="0" r="0" t="0"/>
            <wp:docPr descr="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 title="" id="235" name="Picture"/>
            <a:graphic>
              <a:graphicData uri="http://schemas.openxmlformats.org/drawingml/2006/picture">
                <pic:pic>
                  <pic:nvPicPr>
                    <pic:cNvPr descr="figures/fig_4_7_1_sids_inversion.png" id="236" name="Picture"/>
                    <pic:cNvPicPr>
                      <a:picLocks noChangeArrowheads="1" noChangeAspect="1"/>
                    </pic:cNvPicPr>
                  </pic:nvPicPr>
                  <pic:blipFill>
                    <a:blip r:embed="rId234"/>
                    <a:stretch>
                      <a:fillRect/>
                    </a:stretch>
                  </pic:blipFill>
                  <pic:spPr bwMode="auto">
                    <a:xfrm>
                      <a:off x="0" y="0"/>
                      <a:ext cx="5753100" cy="2563881"/>
                    </a:xfrm>
                    <a:prstGeom prst="rect">
                      <a:avLst/>
                    </a:prstGeom>
                    <a:noFill/>
                    <a:ln w="9525">
                      <a:noFill/>
                      <a:headEnd/>
                      <a:tailEnd/>
                    </a:ln>
                  </pic:spPr>
                </pic:pic>
              </a:graphicData>
            </a:graphic>
          </wp:inline>
        </w:drawing>
      </w:r>
    </w:p>
    <w:p>
      <w:pPr>
        <w:pStyle w:val="ImageCaption"/>
      </w:pPr>
      <w:r>
        <w:t xml:space="preserve">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w:t>
      </w:r>
    </w:p>
    <w:p>
      <w:pPr>
        <w:pStyle w:val="BodyText"/>
      </w:pPr>
      <w:r>
        <w:t xml:space="preserve">Trên một bản dựng dữ liệu</w:t>
      </w:r>
      <w:r>
        <w:t xml:space="preserve"> </w:t>
      </w:r>
      <w:r>
        <w:rPr>
          <w:bCs/>
          <w:b/>
        </w:rPr>
        <w:t xml:space="preserve">hạn chế hơn</w:t>
      </w:r>
      <w:r>
        <w:t xml:space="preserve"> </w:t>
      </w:r>
      <w:r>
        <w:t xml:space="preserve">(chỉ ba nền có đủ biến kiểm soát đợt trước 2018: Fiji 2009, Papua New Guinea 2015, Vanuatu 2009;</w:t>
      </w:r>
      <w:r>
        <w:t xml:space="preserve"> </w:t>
      </w:r>
      <m:oMath>
        <m:r>
          <m:t>N</m:t>
        </m:r>
        <m:r>
          <m:rPr>
            <m:sty m:val="p"/>
          </m:rPr>
          <m:t>=</m:t>
        </m:r>
        <m:r>
          <m:t>209</m:t>
        </m:r>
      </m:oMath>
      <w:r>
        <w:t xml:space="preserve">), độ dốc tuyến tính âm mạnh và có ý nghĩa,</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w:t>
      </w:r>
      <w:r>
        <w:t xml:space="preserve">(</w:t>
      </w:r>
      <m:oMath>
        <m:r>
          <m:t>S</m:t>
        </m:r>
        <m:r>
          <m:t>E</m:t>
        </m:r>
        <m:r>
          <m:rPr>
            <m:sty m:val="p"/>
          </m:rPr>
          <m:t>=</m:t>
        </m:r>
        <m:r>
          <m:t>0</m:t>
        </m:r>
        <m:r>
          <m:rPr>
            <m:sty m:val="p"/>
          </m:rPr>
          <m:t>,</m:t>
        </m:r>
        <m:r>
          <m:t>386</m:t>
        </m:r>
      </m:oMath>
      <w:r>
        <w:t xml:space="preserve">,</w:t>
      </w:r>
      <w:r>
        <w:t xml:space="preserve"> </w:t>
      </w:r>
      <m:oMath>
        <m:r>
          <m:t>p</m:t>
        </m:r>
        <m:r>
          <m:rPr>
            <m:sty m:val="p"/>
          </m:rPr>
          <m:t>&lt;</m:t>
        </m:r>
        <m:r>
          <m:rPr>
            <m:sty m:val="p"/>
          </m:rPr>
          <m:t>,</m:t>
        </m:r>
        <m:r>
          <m:t>001</m:t>
        </m:r>
      </m:oMath>
      <w:r>
        <w:t xml:space="preserve">) — dấu hiệu FIP đậm nét nhất. Tuy nhiên kết quả này dựa trên</w:t>
      </w:r>
      <w:r>
        <w:t xml:space="preserve"> </w:t>
      </w:r>
      <w:r>
        <w:rPr>
          <w:bCs/>
          <w:b/>
        </w:rPr>
        <w:t xml:space="preserve">ba cụm</w:t>
      </w:r>
      <w:r>
        <w:t xml:space="preserve"> </w:t>
      </w:r>
      <w:r>
        <w:t xml:space="preserve">và</w:t>
      </w:r>
      <w:r>
        <w:t xml:space="preserve"> </w:t>
      </w:r>
      <w:r>
        <w:rPr>
          <w:bCs/>
          <w:b/>
        </w:rPr>
        <w:t xml:space="preserve">nhạy cảm với phiên bản dữ liệu</w:t>
      </w:r>
      <w:r>
        <w:t xml:space="preserve"> </w:t>
      </w:r>
      <w:r>
        <w:t xml:space="preserve">(xem Mục 4.7.8): trên mẫu đầy đủ, dấu và độ lớn không ổn định. Do đó hệ số −1,339 được đọc như bằng chứng minh họa cho</w:t>
      </w:r>
      <w:r>
        <w:t xml:space="preserve"> </w:t>
      </w:r>
      <w:r>
        <w:rPr>
          <w:bCs/>
          <w:b/>
        </w:rPr>
        <w:t xml:space="preserve">trường hợp giới hạn lý thuyết FIP</w:t>
      </w:r>
      <w:r>
        <w:t xml:space="preserve"> </w:t>
      </w:r>
      <w:r>
        <w:t xml:space="preserve">chứ không phải một hiệu ứng được ước lượng vững, và phát hiện vững của bối cảnh SIDS là</w:t>
      </w:r>
      <w:r>
        <w:t xml:space="preserve"> </w:t>
      </w:r>
      <w:r>
        <w:rPr>
          <w:bCs/>
          <w:b/>
        </w:rPr>
        <w:t xml:space="preserve">việc chữ U ngược mất cấu trúc</w:t>
      </w:r>
      <w:r>
        <w:t xml:space="preserve">; độ cong dương có điều kiện chỉ là một dấu hiệu gợi ý ở mức biên ý nghĩa.</w:t>
      </w:r>
    </w:p>
    <w:bookmarkEnd w:id="237"/>
    <w:bookmarkStart w:id="238"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FIP là một đóng góp</w:t>
      </w:r>
      <w:r>
        <w:t xml:space="preserve"> </w:t>
      </w:r>
      <w:r>
        <w:rPr>
          <w:bCs/>
          <w:b/>
        </w:rPr>
        <w:t xml:space="preserve">khái niệm</w:t>
      </w:r>
      <w:r>
        <w:t xml:space="preserve"> </w:t>
      </w:r>
      <w:r>
        <w:t xml:space="preserve">của luận án, lần đầu được đặt tên trong tài liệu quốc tế hóa–hiệu quả hoạt động kinh doanh của doanh nghiệp cho khu vực Thái Bình Dương; bằng chứng thực nghiệm đi kèm mang tính</w:t>
      </w:r>
      <w:r>
        <w:t xml:space="preserve"> </w:t>
      </w:r>
      <w:r>
        <w:rPr>
          <w:bCs/>
          <w:b/>
        </w:rPr>
        <w:t xml:space="preserve">thăm dò</w:t>
      </w:r>
      <w:r>
        <w:t xml:space="preserve"> </w:t>
      </w:r>
      <w:r>
        <w:t xml:space="preserve">và phải được đọc cùng giới hạn dữ liệu trình bày ở Mục 4.7.8.</w:t>
      </w:r>
    </w:p>
    <w:bookmarkEnd w:id="238"/>
    <w:bookmarkStart w:id="239"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239"/>
    <w:bookmarkStart w:id="240"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240"/>
    <w:bookmarkStart w:id="241"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dấu hiệu đặc trưng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241"/>
    <w:bookmarkStart w:id="242" w:name="X43aaaec6098e02f393fbba06055f5eafb097236"/>
    <w:p>
      <w:pPr>
        <w:pStyle w:val="Heading3"/>
      </w:pPr>
      <w:r>
        <w:t xml:space="preserve">4.7.7 Mô thức dấu của hệ số FIP qua các mô hình (phiên bản dữ liệu gốc) và cơ chế năng lực không điều tiết</w:t>
      </w:r>
    </w:p>
    <w:p>
      <w:pPr>
        <w:pStyle w:val="FirstParagraph"/>
      </w:pPr>
      <w:r>
        <w:t xml:space="preserve">Trên phiên bản dữ liệu gốc dùng cho nghiên cứu thành phần P8, hệ số FIP duy trì dấu âm và quy mô đáng kể qua một chuỗi mô hình, một mô thức nhất quán nội bộ trên dữ liệu đó (lưu ý độ bền này phụ thuộc phiên bản dữ liệu, xem Mục 4.7.8).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mô hình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bookmarkEnd w:id="242"/>
    <w:bookmarkStart w:id="243" w:name="X8bc5ef4347774cf8c9b1f0d473a4a55dbd5afc2"/>
    <w:p>
      <w:pPr>
        <w:pStyle w:val="Heading3"/>
      </w:pPr>
      <w:r>
        <w:t xml:space="preserve">4.7.8 Giới hạn dữ liệu và cách đọc thận trọng hệ số FIP</w:t>
      </w:r>
    </w:p>
    <w:p>
      <w:pPr>
        <w:pStyle w:val="FirstParagraph"/>
      </w:pPr>
      <w:r>
        <w:t xml:space="preserve">Cần đọc các hệ số FIP trên với một</w:t>
      </w:r>
      <w:r>
        <w:t xml:space="preserve"> </w:t>
      </w:r>
      <w:r>
        <w:rPr>
          <w:bCs/>
          <w:b/>
        </w:rPr>
        <w:t xml:space="preserve">giới hạn dữ liệu quan trọng</w:t>
      </w:r>
      <w:r>
        <w:t xml:space="preserve"> </w:t>
      </w:r>
      <w:r>
        <w:t xml:space="preserve">được phát hiện trong quá trình kiểm tra tái lập. Mẫu ước lượng cốt lõi của M1 (</w:t>
      </w:r>
      <m:oMath>
        <m:r>
          <m:t>N</m:t>
        </m:r>
        <m:r>
          <m:rPr>
            <m:sty m:val="p"/>
          </m:rPr>
          <m:t>=</m:t>
        </m:r>
        <m:r>
          <m:t>209</m:t>
        </m:r>
      </m:oMath>
      <w:r>
        <w:t xml:space="preserve">) gồm các doanh nghiệp có đủ biến kiểm soát ở đợt khảo sát trước năm 2018, và trên thực tế tập trung vào</w:t>
      </w:r>
      <w:r>
        <w:t xml:space="preserve"> </w:t>
      </w:r>
      <w:r>
        <w:rPr>
          <w:bCs/>
          <w:b/>
        </w:rPr>
        <w:t xml:space="preserve">ba nền kinh tế có dữ liệu hoàn chỉnh nhất</w:t>
      </w:r>
      <w:r>
        <w:t xml:space="preserve"> </w:t>
      </w:r>
      <w:r>
        <w:t xml:space="preserve">(Fiji 2009, Papua New Guinea 2015, Vanuatu 2009); các mô hình độ vững mở rộng ở Mục 4.7.7 (mẫu đầy đủ</w:t>
      </w:r>
      <w:r>
        <w:t xml:space="preserve"> </w:t>
      </w:r>
      <m:oMath>
        <m:r>
          <m:t>N</m:t>
        </m:r>
        <m:r>
          <m:rPr>
            <m:sty m:val="p"/>
          </m:rPr>
          <m:t>=</m:t>
        </m:r>
        <m:r>
          <m:t>950</m:t>
        </m:r>
      </m:oMath>
      <w:r>
        <w:t xml:space="preserve">, nhóm chín nền</w:t>
      </w:r>
      <w:r>
        <w:t xml:space="preserve"> </w:t>
      </w:r>
      <m:oMath>
        <m:r>
          <m:t>N</m:t>
        </m:r>
        <m:r>
          <m:rPr>
            <m:sty m:val="p"/>
          </m:rPr>
          <m:t>=</m:t>
        </m:r>
        <m:r>
          <m:t>1.469</m:t>
        </m:r>
      </m:oMath>
      <w:r>
        <w:t xml:space="preserve">) được tính trên cùng phiên bản dữ liệu gốc đó. Khi bộ dữ liệu SIDS được dựng lại để nạp đầy đủ hơn các nền có tên tệp gạch nối và bổ sung các đợt khảo sát gần đây, hệ số cường độ xuất khẩu trên mẫu lớn hơn trở nên</w:t>
      </w:r>
      <w:r>
        <w:t xml:space="preserve"> </w:t>
      </w:r>
      <w:r>
        <w:rPr>
          <w:bCs/>
          <w:b/>
        </w:rPr>
        <w:t xml:space="preserve">không có ý nghĩa thống kê và không ổn định về dấu</w:t>
      </w:r>
      <w:r>
        <w:t xml:space="preserve">. Như vậy độ lớn của FIP</w:t>
      </w:r>
      <w:r>
        <w:t xml:space="preserve"> </w:t>
      </w:r>
      <w:r>
        <w:rPr>
          <w:bCs/>
          <w:b/>
        </w:rPr>
        <w:t xml:space="preserve">nhạy cảm với phiên bản dữ liệu</w:t>
      </w:r>
      <w:r>
        <w:t xml:space="preserve"> </w:t>
      </w:r>
      <w:r>
        <w:t xml:space="preserve">và với số nền đảo nhỏ có dữ liệu doanh nghiệp đầy đủ; hơn nữa, với số cụm rất nhỏ (ba đến chín nền), suy luận dựa trên sai số chuẩn cụm tự thân đã không đáng tin cậy. Vì những lý do đó, kết quả FIP trong luận án được đọc đúng nhất như</w:t>
      </w:r>
      <w:r>
        <w:t xml:space="preserve"> </w:t>
      </w:r>
      <w:r>
        <w:rPr>
          <w:bCs/>
          <w:b/>
        </w:rPr>
        <w:t xml:space="preserve">bằng chứng thăm dò</w:t>
      </w:r>
      <w:r>
        <w:t xml:space="preserve"> </w:t>
      </w:r>
      <w:r>
        <w:t xml:space="preserve">cho một</w:t>
      </w:r>
      <w:r>
        <w:t xml:space="preserve"> </w:t>
      </w:r>
      <w:r>
        <w:rPr>
          <w:bCs/>
          <w:b/>
        </w:rPr>
        <w:t xml:space="preserve">điều kiện biên lý thuyết</w:t>
      </w:r>
      <w:r>
        <w:t xml:space="preserve"> </w:t>
      </w:r>
      <w:r>
        <w:t xml:space="preserve">— khái niệm gánh nặng quốc tế hóa bắt buộc có giá trị định hướng — chứ</w:t>
      </w:r>
      <w:r>
        <w:t xml:space="preserve"> </w:t>
      </w:r>
      <w:r>
        <w:rPr>
          <w:bCs/>
          <w:b/>
        </w:rPr>
        <w:t xml:space="preserve">chưa phải một hiệu ứng được ước lượng vững</w:t>
      </w:r>
      <w:r>
        <w:t xml:space="preserve"> </w:t>
      </w:r>
      <w:r>
        <w:t xml:space="preserve">trên toàn bộ nhóm SIDS Thái Bình Dương. Việc kiểm định FIP một cách dứt khoát đòi hỏi dữ liệu doanh nghiệp đầy đủ hơn ở nhiều nền đảo nhỏ và một số cụm đủ lớn cho suy luận cụm hợp lệ, đây là một hướng nghiên cứu tương lai trực tiếp (xem thêm Mục 5.5).</w:t>
      </w:r>
    </w:p>
    <w:p>
      <w:r>
        <w:pict>
          <v:rect style="width:0;height:1.5pt" o:hralign="center" o:hrstd="t" o:hr="t"/>
        </w:pict>
      </w:r>
    </w:p>
    <w:bookmarkEnd w:id="243"/>
    <w:bookmarkEnd w:id="244"/>
    <w:bookmarkStart w:id="253"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Mô hình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đợt</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 Cần lưu ý thêm rằng điểm uốn Ấn Độ năm 2014 (</w:t>
      </w:r>
      <m:oMath>
        <m:r>
          <m:t>61</m:t>
        </m:r>
        <m:r>
          <m:rPr>
            <m:sty m:val="p"/>
          </m:rPr>
          <m:t>,</m:t>
        </m:r>
        <m:r>
          <m:t>8</m:t>
        </m:r>
        <m:r>
          <m:rPr>
            <m:sty m:val="p"/>
          </m:rPr>
          <m:t>%</m:t>
        </m:r>
      </m:oMath>
      <w:r>
        <w:t xml:space="preserve">) cao bất thường so với dải đặc trưng của Nhóm IV (điểm uốn vùng giữa khoảng</w:t>
      </w:r>
      <w:r>
        <w:t xml:space="preserve"> </w:t>
      </w:r>
      <m:oMath>
        <m:r>
          <m:t>43</m:t>
        </m:r>
        <m:r>
          <m:rPr>
            <m:sty m:val="p"/>
          </m:rPr>
          <m:t>%</m:t>
        </m:r>
      </m:oMath>
      <w:r>
        <w:t xml:space="preserve"> </w:t>
      </w:r>
      <w:r>
        <w:t xml:space="preserve">trong mẫu gộp P7), gần với vùng của các chế độ thể chế mạnh hơn; chính sự</w:t>
      </w:r>
      <w:r>
        <w:t xml:space="preserve"> </w:t>
      </w:r>
      <w:r>
        <w:rPr>
          <w:bCs/>
          <w:b/>
        </w:rPr>
        <w:t xml:space="preserve">hội tụ</w:t>
      </w:r>
      <w:r>
        <w:t xml:space="preserve"> </w:t>
      </w:r>
      <w:r>
        <w:t xml:space="preserve">của điểm uốn xuống</w:t>
      </w:r>
      <w:r>
        <w:t xml:space="preserve"> </w:t>
      </w:r>
      <m:oMath>
        <m:r>
          <m:t>40</m:t>
        </m:r>
        <m:r>
          <m:rPr>
            <m:sty m:val="p"/>
          </m:rPr>
          <m:t>,</m:t>
        </m:r>
        <m:r>
          <m:t>7</m:t>
        </m:r>
        <m:r>
          <m:rPr>
            <m:sty m:val="p"/>
          </m:rPr>
          <m:t>%</m:t>
        </m:r>
      </m:oMath>
      <w:r>
        <w:t xml:space="preserve"> </w:t>
      </w:r>
      <w:r>
        <w:t xml:space="preserve">năm 2022 mới là dữ kiện nhất quán với chuẩn Nhóm IV, chứ không phải mức 2014. Cách đọc này biến một mâu thuẫn bề ngoài (một nền Nhóm IV khởi đầu với điểm uốn kiểu Nhóm I) thành bằng chứng ủng hộ: Ấn Độ tiền cú sốc vận hành như một chế độ thể chế cao hơn vị trí thu nhập của nó, và chỉ chuỗi cú sốc thể chế sau 2016 mới kéo điểm uốn về dải Nhóm IV trước khi làm mất cấu trúc hẳn cấu trúc vào 2025.</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Bậc 1 (trang web) chung cho cả ba đợt, WBES BREADY cung cấp thêm chỉ báo Bậc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Bậc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Bậc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245"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Bậc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Bậc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245"/>
    <w:bookmarkStart w:id="246" w:name="X831cc447fad3f32e70dc6a6e8cab29a5c412c7c"/>
    <w:p>
      <w:pPr>
        <w:pStyle w:val="Heading3"/>
      </w:pPr>
      <w:r>
        <w:t xml:space="preserve">4.8.2 Mô hình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đợt</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đợt</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Mô hình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246"/>
    <w:bookmarkStart w:id="247"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mô hình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Bậc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Bậc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247"/>
    <w:bookmarkStart w:id="248"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mô hình là tuyến tính thay vì bậc hai.</w:t>
      </w:r>
    </w:p>
    <w:p>
      <w:pPr>
        <w:pStyle w:val="BodyText"/>
      </w:pPr>
      <w:r>
        <w:t xml:space="preserve">Kết quả xác nhận ba mệnh đề. Thứ nhất, mức độ quốc tế hóa tác động âm lên hiệu quả ở mô hình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248"/>
    <w:bookmarkStart w:id="249"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249"/>
    <w:bookmarkStart w:id="250"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mất cấu trúc vào 2025; mô hình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250"/>
    <w:bookmarkStart w:id="251"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mất cấu trúc.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mô hình (R1, R2, R3b, R4) xác nhận mô thức định tính chữ U ngược hiện diện 2014–2022 rồi biến mất 2025; mô hình thứ năm (R3a) xác nhận hiện diện 2022 và biến mất 2025.</w:t>
      </w:r>
    </w:p>
    <w:bookmarkEnd w:id="251"/>
    <w:bookmarkStart w:id="252"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mô hình chính. Đối với tương tác UPI Bậc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(Bậc 2 lấn át Bậc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252"/>
    <w:bookmarkEnd w:id="253"/>
    <w:bookmarkStart w:id="257"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254"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mô hình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m:oMath>
              <m:sSup>
                <m:e>
                  <m:r>
                    <m:rPr>
                      <m:nor/>
                      <m:sty m:val="p"/>
                    </m:rPr>
                    <m:t>FSTS</m:t>
                  </m:r>
                </m:e>
                <m:sup>
                  <m:r>
                    <m:t>2</m:t>
                  </m:r>
                </m:sup>
              </m:sSup>
            </m:oMath>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mô hình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mô hình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mô hình số hạng bậc hai vô nghĩa. Riêng mô hình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phổ ba vùng của thể chế: chữ U ngược ở các chế độ chuyển đổi, gần tuyến tính ở biên trên, mất cấu trúc ở biên dưới.</w:t>
      </w:r>
    </w:p>
    <w:bookmarkEnd w:id="254"/>
    <w:bookmarkStart w:id="255"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Bậc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255"/>
    <w:bookmarkStart w:id="256"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phổ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256"/>
    <w:bookmarkEnd w:id="257"/>
    <w:bookmarkStart w:id="258"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phổ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phổ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Phổ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Bậc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258"/>
    <w:bookmarkStart w:id="259"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w:t>
            </w:r>
            <m:oMath>
              <m:r>
                <m:t>β</m:t>
              </m:r>
              <m:r>
                <m:rPr>
                  <m:sty m:val="p"/>
                </m:rPr>
                <m:t>=</m:t>
              </m:r>
              <m:r>
                <m:t>0</m:t>
              </m:r>
              <m:r>
                <m:rPr>
                  <m:sty m:val="p"/>
                </m:rPr>
                <m:t>,</m:t>
              </m:r>
              <m:r>
                <m:t>179</m:t>
              </m:r>
            </m:oMath>
            <w:r>
              <w:t xml:space="preserve">, biến công cụ)</w:t>
            </w:r>
          </w:p>
        </w:tc>
        <w:tc>
          <w:tcPr/>
          <w:p>
            <w:pPr>
              <w:pStyle w:val="Compact"/>
              <w:jc w:val="left"/>
            </w:pPr>
            <w:r>
              <w:t xml:space="preserve">không có ý nghĩa (Bậc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m:oMath>
              <m:sSup>
                <m:e>
                  <m:r>
                    <m:rPr>
                      <m:nor/>
                      <m:sty m:val="p"/>
                    </m:rPr>
                    <m:t>FSTS</m:t>
                  </m:r>
                </m:e>
                <m:sup>
                  <m:r>
                    <m:t>2</m:t>
                  </m:r>
                </m:sup>
              </m:sSup>
              <m:r>
                <m:rPr>
                  <m:sty m:val="p"/>
                </m:rPr>
                <m:t>×</m:t>
              </m:r>
              <m:r>
                <m:rPr>
                  <m:nor/>
                  <m:sty m:val="p"/>
                </m:rPr>
                <m:t>DAI</m:t>
              </m:r>
              <m:r>
                <m:rPr>
                  <m:sty m:val="p"/>
                </m:rPr>
                <m:t>=</m:t>
              </m:r>
              <m:r>
                <m:rPr>
                  <m:sty m:val="p"/>
                </m:rPr>
                <m:t>+</m:t>
              </m:r>
              <m:r>
                <m:t>3</m:t>
              </m:r>
              <m:r>
                <m:rPr>
                  <m:sty m:val="p"/>
                </m:rPr>
                <m:t>,</m:t>
              </m:r>
              <m:sSup>
                <m:e>
                  <m:r>
                    <m:t>119</m:t>
                  </m:r>
                </m:e>
                <m:sup>
                  <m:r>
                    <m:rPr>
                      <m:sty m:val="p"/>
                    </m:rPr>
                    <m:t>*</m:t>
                  </m:r>
                  <m:r>
                    <m:rPr>
                      <m:sty m:val="p"/>
                    </m:rPr>
                    <m:t>*</m:t>
                  </m:r>
                </m:sup>
              </m:sSup>
            </m:oMath>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4.544</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(+0,28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(toàn cầu, 49 nền)</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1.450</w:t>
            </w:r>
          </w:p>
        </w:tc>
        <w:tc>
          <w:tcPr/>
          <w:p>
            <w:pPr>
              <w:pStyle w:val="Compact"/>
              <w:jc w:val="left"/>
            </w:pPr>
            <w:r>
              <w:t xml:space="preserve">chữ U ngược mất cấu trúc (FIP: trường hợp giới hạn)</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độ cong &amp; độ dốc n.s. (7 nền, mẫu đầy đủ); −1,339 chỉ ở bản dựng ba cụm</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Bậc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43,6% ở mô hình đầy đủ M5 trên khung 50 nền (dải 43,6–51,5% giữa các mô hình).</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việc chữ U ngược mất cấu trúc tại các nền đảo nhỏ (P8; FIP là trường hợp giới hạn lý thuyết),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phổ thể chế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 50 nền); tương tác đường cong cùng chiều nén nhưng không ý nghĩa toàn mẫu; bằng chứng điều tiết rõ nhất ở bối cảnh đơn quốc gia (P4:</w:t>
            </w:r>
            <w:r>
              <w:t xml:space="preserve"> </w:t>
            </w:r>
            <m:oMath>
              <m:sSup>
                <m:e>
                  <m:r>
                    <m:rPr>
                      <m:nor/>
                      <m:sty m:val="p"/>
                    </m:rPr>
                    <m:t>FSTS</m:t>
                  </m:r>
                </m:e>
                <m:sup>
                  <m:r>
                    <m:t>2</m:t>
                  </m:r>
                </m:sup>
              </m:sSup>
              <m:r>
                <m:rPr>
                  <m:sty m:val="p"/>
                </m:rPr>
                <m:t>×</m:t>
              </m:r>
              <m:r>
                <m:rPr>
                  <m:nor/>
                  <m:sty m:val="p"/>
                </m:rPr>
                <m:t>DAI</m:t>
              </m:r>
              <m:r>
                <m:rPr>
                  <m:sty m:val="p"/>
                </m:rPr>
                <m:t>=</m:t>
              </m:r>
              <m:r>
                <m:rPr>
                  <m:sty m:val="p"/>
                </m:rPr>
                <m:t>+</m:t>
              </m:r>
              <m:r>
                <m:t>3</m:t>
              </m:r>
              <m:r>
                <m:rPr>
                  <m:sty m:val="p"/>
                </m:rPr>
                <m:t>,</m:t>
              </m:r>
              <m:sSup>
                <m:e>
                  <m:r>
                    <m:t>119</m:t>
                  </m:r>
                </m:e>
                <m:sup>
                  <m:r>
                    <m:rPr>
                      <m:sty m:val="p"/>
                    </m:rPr>
                    <m:t>*</m:t>
                  </m:r>
                  <m:r>
                    <m:rPr>
                      <m:sty m:val="p"/>
                    </m:rPr>
                    <m:t>*</m:t>
                  </m:r>
                </m:sup>
              </m:sSup>
            </m:oMath>
            <w:r>
              <w:t xml:space="preserve">); không có ý nghĩa tại Việt Nam (Bậc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−0,104, p&lt;,001; tương tác FSTS không ý nghĩa); hiệu ứng phụ thuộc bối cảnh</w:t>
            </w:r>
          </w:p>
        </w:tc>
      </w:tr>
      <w:tr>
        <w:tc>
          <w:tcPr/>
          <w:p>
            <w:pPr>
              <w:pStyle w:val="Compact"/>
              <w:jc w:val="left"/>
            </w:pPr>
            <w:r>
              <w:t xml:space="preserve">H5 (ICRV phổ thể chế)</w:t>
            </w:r>
          </w:p>
        </w:tc>
        <w:tc>
          <w:tcPr/>
          <w:p>
            <w:pPr>
              <w:pStyle w:val="Compact"/>
              <w:jc w:val="left"/>
            </w:pPr>
            <w:r>
              <w:t xml:space="preserve">Thể chế điều tiết phổ thể chế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phổ thể chế định hướng (E1a/E1b) chưa xác nhận do</w:t>
            </w:r>
            <w:r>
              <w:t xml:space="preserve"> </w:t>
            </w:r>
            <w:r>
              <w:rPr>
                <w:iCs/>
                <w:i/>
              </w:rPr>
              <w:t xml:space="preserve">k</w:t>
            </w:r>
            <w:r>
              <w:t xml:space="preserve"> </w:t>
            </w:r>
            <w:r>
              <w:t xml:space="preserve">= 3 tại nhóm Frontier (bin FR, hệ 5-regime của P6); phổ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Chữ U ngược mất cấu trúc tại SIDS; FIP là trường hợp giới hạn</w:t>
            </w:r>
          </w:p>
        </w:tc>
        <w:tc>
          <w:tcPr/>
          <w:p>
            <w:pPr>
              <w:pStyle w:val="Compact"/>
              <w:jc w:val="left"/>
            </w:pPr>
            <w:r>
              <w:t xml:space="preserve">Ủng hộ theo hướng mất cấu trúc: trên mẫu đầy đủ bảy nền Thái Bình Dương (</w:t>
            </w:r>
            <m:oMath>
              <m:r>
                <m:t>N</m:t>
              </m:r>
              <m:r>
                <m:rPr>
                  <m:sty m:val="p"/>
                </m:rPr>
                <m:t>=</m:t>
              </m:r>
              <m:r>
                <m:t>1.450</m:t>
              </m:r>
            </m:oMath>
            <w:r>
              <w:t xml:space="preserve">, bảy cụm)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Hệ số âm mạnh (</w:t>
            </w:r>
            <m:oMath>
              <m:r>
                <m:rPr>
                  <m:sty m:val="p"/>
                </m:rPr>
                <m:t>−</m:t>
              </m:r>
              <m:r>
                <m:t>1</m:t>
              </m:r>
              <m:r>
                <m:rPr>
                  <m:sty m:val="p"/>
                </m:rPr>
                <m:t>,</m:t>
              </m:r>
              <m:sSup>
                <m:e>
                  <m:r>
                    <m:t>339</m:t>
                  </m:r>
                </m:e>
                <m:sup>
                  <m:r>
                    <m:rPr>
                      <m:sty m:val="p"/>
                    </m:rPr>
                    <m:t>*</m:t>
                  </m:r>
                  <m:r>
                    <m:rPr>
                      <m:sty m:val="p"/>
                    </m:rPr>
                    <m:t>*</m:t>
                  </m:r>
                  <m:r>
                    <m:rPr>
                      <m:sty m:val="p"/>
                    </m:rPr>
                    <m:t>*</m:t>
                  </m:r>
                </m:sup>
              </m:sSup>
            </m:oMath>
            <w:r>
              <w:t xml:space="preserve">) chỉ xuất hiện trên bản dựng dữ liệu hạn chế ba cụm, mang tính minh họa và nhạy cảm với phiên bản dữ liệu (Mục 4.7.8)</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Bậc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259"/>
    <w:bookmarkStart w:id="260"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260"/>
    <w:bookmarkStart w:id="261" w:name="chương-5-kết-luận-và-đề-xuất"/>
    <w:p>
      <w:pPr>
        <w:pStyle w:val="Heading1"/>
      </w:pPr>
      <w:r>
        <w:t xml:space="preserve">CHƯƠNG 5: KẾT LUẬN VÀ ĐỀ XUẤT</w:t>
      </w:r>
    </w:p>
    <w:bookmarkEnd w:id="261"/>
    <w:p>
      <w:r>
        <w:pict>
          <v:rect style="width:0;height:1.5pt" o:hralign="center" o:hrstd="t" o:hr="t"/>
        </w:pict>
      </w:r>
    </w:p>
    <w:bookmarkStart w:id="262"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Toàn bộ chương được tổ chức quanh việc bảo vệ luận điểm trọng tâm của luận án: thể chế không chỉ điều tiết độ lớn mà quy định cả dấu và dạng hình của quan hệ quốc tế hóa và hiệu quả, và tại cực trị thể chế, toàn bộ họ mô hình chữ U ngược ngừng áp dụng (điều kiện biên FIP).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62"/>
    <w:bookmarkStart w:id="271" w:name="Xff8cef3ed320f9cf6f3fba4ff558bfed3af19c6"/>
    <w:p>
      <w:pPr>
        <w:pStyle w:val="Heading2"/>
      </w:pPr>
      <w:r>
        <w:t xml:space="preserve">5.1 Bàn luận kết quả theo khung lý thuyết CDCM</w:t>
      </w:r>
    </w:p>
    <w:bookmarkStart w:id="263" w:name="X59bbe86bb1d3da1717dec30924f73547ba9a500"/>
    <w:p>
      <w:pPr>
        <w:pStyle w:val="Heading3"/>
      </w:pPr>
      <w:r>
        <w:t xml:space="preserve">5.1.1 Phổ ICRV: Xác nhận một phần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phổ thể chế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phổ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w:t>
      </w:r>
      <w:r>
        <w:t xml:space="preserve"> </w:t>
      </w:r>
      <w:r>
        <w:rPr>
          <w:bCs/>
          <w:b/>
        </w:rPr>
        <w:t xml:space="preserve">một phần</w:t>
      </w:r>
      <w:r>
        <w:t xml:space="preserve"> </w:t>
      </w:r>
      <w:r>
        <w:t xml:space="preserve">H5 và tầng thể chế của khung lý thuyết CDCM. Phần</w:t>
      </w:r>
      <w:r>
        <w:t xml:space="preserve"> </w:t>
      </w:r>
      <w:r>
        <w:rPr>
          <w:bCs/>
          <w:b/>
        </w:rPr>
        <w:t xml:space="preserve">lõi</w:t>
      </w:r>
      <w:r>
        <w:t xml:space="preserve"> </w:t>
      </w:r>
      <w:r>
        <w:t xml:space="preserve">của H5 được xác nhận vững từ hai nguồn độc lập: chế độ thể chế quyết định không chỉ một biến điều tiết đơn lẻ mà là</w:t>
      </w:r>
      <w:r>
        <w:t xml:space="preserve"> </w:t>
      </w:r>
      <w:r>
        <w:rPr>
          <w:bCs/>
          <w:b/>
        </w:rPr>
        <w:t xml:space="preserve">cả một chế độ thể chế</w:t>
      </w:r>
      <w:r>
        <w:t xml:space="preserve"> </w:t>
      </w:r>
      <w:r>
        <w:t xml:space="preserve">chi phối sự tồn tại và vị trí của dạng hàm chữ U ngược (kiểm định tổng thể</w:t>
      </w:r>
      <w:r>
        <w:t xml:space="preserve"> </w:t>
      </w:r>
      <m:oMath>
        <m:sSub>
          <m:e>
            <m:r>
              <m:t>Q</m:t>
            </m:r>
          </m:e>
          <m:sub>
            <m:r>
              <m:t>M</m:t>
            </m:r>
          </m:sub>
        </m:sSub>
        <m:r>
          <m:rPr>
            <m:sty m:val="p"/>
          </m:rPr>
          <m:t>=</m:t>
        </m:r>
        <m:r>
          <m:t>17</m:t>
        </m:r>
        <m:r>
          <m:rPr>
            <m:sty m:val="p"/>
          </m:rPr>
          <m:t>,</m:t>
        </m:r>
        <m:r>
          <m:t>35</m:t>
        </m:r>
      </m:oMath>
      <w:r>
        <w:t xml:space="preserve"> </w:t>
      </w:r>
      <w:r>
        <w:t xml:space="preserve">của P6; phổ điểm uốn theo ICRV của P7). Tuy nhiên,</w:t>
      </w:r>
      <w:r>
        <w:t xml:space="preserve"> </w:t>
      </w:r>
      <w:r>
        <w:rPr>
          <w:bCs/>
          <w:b/>
        </w:rPr>
        <w:t xml:space="preserve">định hướng phổ thể chế đơn điệu</w:t>
      </w:r>
      <w:r>
        <w:t xml:space="preserve"> </w:t>
      </w:r>
      <w:r>
        <w:t xml:space="preserve">như H5 phát biểu (tác động mạnh nhất ở nhóm thể chế yếu, giảm dần đến nhóm tiên tiến — vận hành hóa thành mệnh đề thăm dò E1a/E1b)</w:t>
      </w:r>
      <w:r>
        <w:t xml:space="preserve"> </w:t>
      </w:r>
      <w:r>
        <w:rPr>
          <w:bCs/>
          <w:b/>
        </w:rPr>
        <w:t xml:space="preserve">chưa được xác nhận</w:t>
      </w:r>
      <w:r>
        <w:t xml:space="preserve">: ở P6, ý nghĩa của</w:t>
      </w:r>
      <w:r>
        <w:t xml:space="preserve"> </w:t>
      </w:r>
      <m:oMath>
        <m:sSub>
          <m:e>
            <m:r>
              <m:t>Q</m:t>
            </m:r>
          </m:e>
          <m:sub>
            <m:r>
              <m:t>M</m:t>
            </m:r>
          </m:sub>
        </m:sSub>
      </m:oMath>
      <w:r>
        <w:t xml:space="preserve"> </w:t>
      </w:r>
      <w:r>
        <w:t xml:space="preserve">bị chi phối bởi nhóm Frontier</w:t>
      </w:r>
      <w:r>
        <w:t xml:space="preserve"> </w:t>
      </w:r>
      <m:oMath>
        <m:r>
          <m:t>k</m:t>
        </m:r>
        <m:r>
          <m:rPr>
            <m:sty m:val="p"/>
          </m:rPr>
          <m:t>=</m:t>
        </m:r>
        <m:r>
          <m:t>3</m:t>
        </m:r>
      </m:oMath>
      <w:r>
        <w:t xml:space="preserve"> </w:t>
      </w:r>
      <w:r>
        <w:t xml:space="preserve">(một nghiên cứu ngoại lai chi phối), còn các tương phản giữa các nhóm đông quan sát (I, II, III, MX) đều không có ý nghĩa; ở P7, gradient thực nghiệm mang dạng</w:t>
      </w:r>
      <w:r>
        <w:t xml:space="preserve"> </w:t>
      </w:r>
      <w:r>
        <w:rPr>
          <w:bCs/>
          <w:b/>
        </w:rPr>
        <w:t xml:space="preserve">ba vùng phi đơn điệu</w:t>
      </w:r>
      <w:r>
        <w:t xml:space="preserve"> </w:t>
      </w:r>
      <w:r>
        <w:t xml:space="preserve">(chữ U ngược sắc nét ở vùng giữa, duỗi thẳng ở biên trên, mất cấu trúc ở biên dưới) chứ không phải một dốc đơn điệu. Cụ thể hơn, bằng chứng xác nhận rằng thể chế</w:t>
      </w:r>
      <w:r>
        <w:t xml:space="preserve"> </w:t>
      </w:r>
      <w:r>
        <w:rPr>
          <w:iCs/>
          <w:i/>
        </w:rPr>
        <w:t xml:space="preserve">định hình</w:t>
      </w:r>
      <w:r>
        <w:t xml:space="preserve"> </w:t>
      </w:r>
      <w:r>
        <w:t xml:space="preserve">dạng quan hệ, nhưng</w:t>
      </w:r>
      <w:r>
        <w:t xml:space="preserve"> </w:t>
      </w:r>
      <w:r>
        <w:rPr>
          <w:iCs/>
          <w:i/>
        </w:rPr>
        <w:t xml:space="preserve">chiều</w:t>
      </w:r>
      <w:r>
        <w:t xml:space="preserve"> </w:t>
      </w:r>
      <w:r>
        <w:t xml:space="preserve">của phổ thể chế phong phú hơn giả thuyết đơn điệu ban đầu — một tinh chỉnh lý thuyết hơn là một bác bỏ. Lý thuyết thể chế của North (1990) và Khanna và Palepu (2010) dự đoán rằng thể chế định hình chi phí giao dịch và cấu trúc khuyến khích; kết quả ICRV phổ thể chế là biểu hiện thực nghiệm của cơ chế này ở quy mô 50 nền kinh tế châu Á và Thái Bình Dương (P7).</w:t>
      </w:r>
    </w:p>
    <w:p>
      <w:pPr>
        <w:pStyle w:val="BodyText"/>
      </w:pPr>
      <w:r>
        <w:t xml:space="preserve">Về mặt lý thuyết, phổ thể chế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phổ thể chế: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63"/>
    <w:bookmarkStart w:id="264" w:name="X09a4922d1c0cba8acfc2d36ce447b46819a36c1"/>
    <w:p>
      <w:pPr>
        <w:pStyle w:val="Heading3"/>
      </w:pPr>
      <w:r>
        <w:t xml:space="preserve">5.1.2 TCI là năng lực nền tảng: Xác nhận một phần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định hình lại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64"/>
    <w:bookmarkStart w:id="265"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Bậc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Bậc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Bậc 1 DAI (website, email, online sales) chưa nắm bắt được chiều sâu của năng lực số. Khi DAI được đo bằng Bậc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năng lực số</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65"/>
    <w:bookmarkStart w:id="266"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(bề rộng so với chiều sâu, breadth vs. depth), một hạn chế đo lường trong WBES cần được khắc phục trong nghiên cứu tương lai.</w:t>
      </w:r>
    </w:p>
    <w:bookmarkEnd w:id="266"/>
    <w:bookmarkStart w:id="267"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của P8; cần đọc cùng giới hạn dữ liệu ở Mục 4.7.8, theo đó kết quả mang tính thăm dò và nhạy cảm với phiên bản dữ liệu)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hoạt động kinh doanh của doanh nghiệp.</w:t>
      </w:r>
    </w:p>
    <w:p>
      <w:pPr>
        <w:pStyle w:val="BodyText"/>
      </w:pPr>
      <w:r>
        <w:t xml:space="preserve">Phát hiện vững trên mẫu đầy đủ bảy nền đảo nhỏ Thái Bình Dương (</w:t>
      </w:r>
      <m:oMath>
        <m:r>
          <m:t>N</m:t>
        </m:r>
        <m:r>
          <m:rPr>
            <m:sty m:val="p"/>
          </m:rPr>
          <m:t>=</m:t>
        </m:r>
        <m:r>
          <m:t>1.450</m:t>
        </m:r>
      </m:oMath>
      <w:r>
        <w:t xml:space="preserve">) là</w:t>
      </w:r>
      <w:r>
        <w:t xml:space="preserve"> </w:t>
      </w:r>
      <w:r>
        <w:rPr>
          <w:bCs/>
          <w:b/>
        </w:rPr>
        <w:t xml:space="preserve">việc dạng chữ U ngược mất cấu trúc</w:t>
      </w:r>
      <w:r>
        <w:t xml:space="preserve"> </w:t>
      </w:r>
      <w:r>
        <w:t xml:space="preserve">(độ dốc không có ý nghĩa và độ cong chỉ đạt mức biên), tương phản sắc nét với chữ U ngược của lục địa; FIP được hiểu như</w:t>
      </w:r>
      <w:r>
        <w:t xml:space="preserve"> </w:t>
      </w:r>
      <w:r>
        <w:rPr>
          <w:bCs/>
          <w:b/>
        </w:rPr>
        <w:t xml:space="preserve">trường hợp giới hạn lý thuyết</w:t>
      </w:r>
      <w:r>
        <w:t xml:space="preserve"> </w:t>
      </w:r>
      <w:r>
        <w:t xml:space="preserve">của sự mất cấu trúc này, tức chiều hướng mà quan hệ nghiêng về khi quốc tế hóa cưỡng bức chi phối hoàn toàn, chứ không phải một quan hệ âm đơn điệu đã được ước lượng vững. Dù theo hướng giới hạn hay theo bằng chứng mất cấu trúc, hàm ý chung là không có mức FSTS nào mà doanh nghiệp SIDS có thể tận dụng để cải thiện hiệu quả thông qua xuất khẩu trong điều kiện hiện tại. Đây là ranh giới biên lý thuyết quan trọng cho các mô hình phi tuyến phổ quát trong tài liệu về quan hệ quốc tế hóa và hiệu quả.</w:t>
      </w:r>
    </w:p>
    <w:p>
      <w:r>
        <w:pict>
          <v:rect style="width:0;height:1.5pt" o:hralign="center" o:hrstd="t" o:hr="t"/>
        </w:pict>
      </w:r>
    </w:p>
    <w:bookmarkEnd w:id="267"/>
    <w:bookmarkStart w:id="268"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Bậc 2 thay thế Bậc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pPr>
        <w:pStyle w:val="BodyText"/>
      </w:pPr>
      <w:r>
        <w:t xml:space="preserve">Đặt trường hợp Ấn Độ cạnh hai bối cảnh chuyển đổi khác làm rõ kết luận về</w:t>
      </w:r>
      <w:r>
        <w:t xml:space="preserve"> </w:t>
      </w:r>
      <w:r>
        <w:rPr>
          <w:bCs/>
          <w:b/>
        </w:rPr>
        <w:t xml:space="preserve">dị biệt thời gian (H6)</w:t>
      </w:r>
      <w:r>
        <w:t xml:space="preserve">, vốn được kiểm định trực tiếp ở P5 và P3: tại Trung Quốc, điểm uốn ổn định giữa hai đợt 2012–2024 (kiểm định Paternoster không bác bỏ tính bằng nhau,</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trong khi tại Việt Nam điểm uốn dịch chuyển có ý nghĩa giữa 2009 và 2015. H6 do đó</w:t>
      </w:r>
      <w:r>
        <w:t xml:space="preserve"> </w:t>
      </w:r>
      <w:r>
        <w:rPr>
          <w:bCs/>
          <w:b/>
        </w:rPr>
        <w:t xml:space="preserve">không được xác nhận như một xu hướng thời gian đơn điệu</w:t>
      </w:r>
      <w:r>
        <w:t xml:space="preserve">, mà được tinh chỉnh thành một mệnh đề có điều kiện: dạng hàm quốc tế hóa–hiệu quả chỉ dịch chuyển (Việt Nam) hoặc mất cấu trúc (Ấn Độ 2025) khi tốc độ và biên độ thay đổi thể chế đủ lớn, còn giữ ổn định khi thể chế trưởng thành có trật tự (Trung Quốc) — nhất quán với cách đọc rằng thời gian tự nó không phải biến điều tiết, mà là vận tốc biến động thể chế tích lũy.</w:t>
      </w:r>
    </w:p>
    <w:p>
      <w:r>
        <w:pict>
          <v:rect style="width:0;height:1.5pt" o:hralign="center" o:hrstd="t" o:hr="t"/>
        </w:pict>
      </w:r>
    </w:p>
    <w:bookmarkEnd w:id="268"/>
    <w:bookmarkStart w:id="269" w:name="Xa3158dd5136100cab093ef0569110b9c1bb5fc2"/>
    <w:p>
      <w:pPr>
        <w:pStyle w:val="Heading3"/>
      </w:pPr>
      <w:r>
        <w:t xml:space="preserve">5.1.7 Tích hợp ba vùng của phổ thể chế: từ chữ U ngược đến mất cấu trúc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phổ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phổ thể chế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mô hình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phổ thể chế (chế độ đang nổi và đảo nhỏ, Nhóm V và VI), quan hệ mất cấu trúc theo hai mức độ khác nhau. Tại Nhóm V, các hệ số không còn ý nghĩa thống kê và dạng hàm mất cấu trúc (P7). Tại Nhóm VI là các nền kinh tế đảo nhỏ, phát hiện vững là dạng chữ U ngược</w:t>
      </w:r>
      <w:r>
        <w:t xml:space="preserve"> </w:t>
      </w:r>
      <w:r>
        <w:rPr>
          <w:bCs/>
          <w:b/>
        </w:rPr>
        <w:t xml:space="preserve">mất cấu trúc</w:t>
      </w:r>
      <w:r>
        <w:t xml:space="preserve"> </w:t>
      </w:r>
      <w:r>
        <w:t xml:space="preserve">(độ dốc không có ý nghĩa và độ cong chỉ đạt mức biên trên mẫu đầy đủ bảy nền Thái Bình Dương), với quan hệ nghiêng về một dạng âm đơn điệu như trường hợp giới hạn lý thuyết, gánh nặng quốc tế hóa bắt buộc (hệ số −1,339 chỉ xuất hiện trên một bản dựng dữ liệu hạn chế ba cụm, mang tính minh họa và nhạy cảm với phiên bản dữ liệu, xem Mục 4.7.8).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phổ thể chế. Bằng chứng Việt Nam (P3) cho thấy độ cong toàn mẫu trong chế độ chuyển đổi được nhận diện chủ yếu qua biên tham gia, tức bước nhảy năng suất khi doanh nghiệp chuyển từ không xuất khẩu sang xuất khẩu (biên tham gia), chứ không qua độ cong cường độ trong nhóm doanh nghiệp đã xuất khẩu (biên cường độ);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69"/>
    <w:bookmarkStart w:id="270" w:name="X08dece717898d5afcbb01edbe9ac6531a983c78"/>
    <w:p>
      <w:pPr>
        <w:pStyle w:val="Heading3"/>
      </w:pPr>
      <w:r>
        <w:t xml:space="preserve">5.1.8 Sợi chỉ vàng: truy vết tích hợp từ câu hỏi nghiên cứu đến đóng góp lý thuyết</w:t>
      </w:r>
    </w:p>
    <w:p>
      <w:pPr>
        <w:pStyle w:val="FirstParagraph"/>
      </w:pPr>
      <w:r>
        <w:t xml:space="preserve">Để làm rõ rằng luận án là</w:t>
      </w:r>
      <w:r>
        <w:t xml:space="preserve"> </w:t>
      </w:r>
      <w:r>
        <w:rPr>
          <w:bCs/>
          <w:b/>
        </w:rPr>
        <w:t xml:space="preserve">một lập luận tích hợp duy nhất</w:t>
      </w:r>
      <w:r>
        <w:t xml:space="preserve"> </w:t>
      </w:r>
      <w:r>
        <w:t xml:space="preserve">chứ không phải tập hợp rời rạc các nghiên cứu thành phần, Bảng 5.1 truy vết</w:t>
      </w:r>
      <w:r>
        <w:t xml:space="preserve"> </w:t>
      </w:r>
      <w:r>
        <w:t xml:space="preserve">“</w:t>
      </w:r>
      <w:r>
        <w:t xml:space="preserve">sợi chỉ vàng</w:t>
      </w:r>
      <w:r>
        <w:t xml:space="preserve">”</w:t>
      </w:r>
      <w:r>
        <w:t xml:space="preserve"> </w:t>
      </w:r>
      <w:r>
        <w:t xml:space="preserve">xuyên suốt: mỗi câu hỏi nghiên cứu được trả lời bằng những nghiên cứu thành phần cụ thể, kiểm định những giả thuyết xác định, cho ra những phát hiện thực nghiệm có thể đối chiếu, và cùng hội tụ về một đóng góp lý thuyết của khung CDCM–ICRV–FIP. Bảng đọc theo chiều ngang cho thấy tính nhất quán nội tại của từng mắt xích; đọc theo chiều dọc cho thấy cách các mảnh bằng chứng độc lập bồi đắp lẫn nhau thành một tuyên bố thống nhất.</w:t>
      </w:r>
    </w:p>
    <w:p>
      <w:pPr>
        <w:pStyle w:val="BodyText"/>
      </w:pPr>
      <w:r>
        <w:rPr>
          <w:bCs/>
          <w:b/>
        </w:rPr>
        <w:t xml:space="preserve">Bảng 5.1.</w:t>
      </w:r>
      <w:r>
        <w:t xml:space="preserve"> </w:t>
      </w:r>
      <w:r>
        <w:rPr>
          <w:iCs/>
          <w:i/>
        </w:rPr>
        <w:t xml:space="preserve">Sợi chỉ vàng tích hợp: câu hỏi nghiên cứu → nghiên cứu thành phần → giả thuyết → phát hiện thực nghiệm chủ chốt → đóng góp lý thuyết.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RQ</w:t>
            </w:r>
          </w:p>
        </w:tc>
        <w:tc>
          <w:tcPr/>
          <w:p>
            <w:pPr>
              <w:pStyle w:val="Compact"/>
              <w:jc w:val="left"/>
            </w:pPr>
            <w:r>
              <w:t xml:space="preserve">Nghiên cứu (nhóm ICRV)</w:t>
            </w:r>
          </w:p>
        </w:tc>
        <w:tc>
          <w:tcPr/>
          <w:p>
            <w:pPr>
              <w:pStyle w:val="Compact"/>
              <w:jc w:val="left"/>
            </w:pPr>
            <w:r>
              <w:t xml:space="preserve">Giả thuyết</w:t>
            </w:r>
          </w:p>
        </w:tc>
        <w:tc>
          <w:tcPr/>
          <w:p>
            <w:pPr>
              <w:pStyle w:val="Compact"/>
              <w:jc w:val="left"/>
            </w:pPr>
            <w:r>
              <w:t xml:space="preserve">Phát hiện thực nghiệm chủ chốt</w:t>
            </w:r>
          </w:p>
        </w:tc>
        <w:tc>
          <w:tcPr/>
          <w:p>
            <w:pPr>
              <w:pStyle w:val="Compact"/>
              <w:jc w:val="left"/>
            </w:pPr>
            <w:r>
              <w:t xml:space="preserve">Đóng góp lý thuyết</w:t>
            </w:r>
          </w:p>
        </w:tc>
      </w:tr>
      <w:tr>
        <w:tc>
          <w:tcPr/>
          <w:p>
            <w:pPr>
              <w:pStyle w:val="Compact"/>
              <w:jc w:val="left"/>
            </w:pPr>
            <w:r>
              <w:t xml:space="preserve">Cơ sở</w:t>
            </w:r>
          </w:p>
        </w:tc>
        <w:tc>
          <w:tcPr/>
          <w:p>
            <w:pPr>
              <w:pStyle w:val="Compact"/>
              <w:jc w:val="left"/>
            </w:pPr>
            <w:r>
              <w:t xml:space="preserve">P1 — Cơ sở đa quốc gia 17 nền (</w:t>
            </w:r>
            <m:oMath>
              <m:r>
                <m:t>N</m:t>
              </m:r>
              <m:r>
                <m:rPr>
                  <m:sty m:val="p"/>
                </m:rPr>
                <m:t>=</m:t>
              </m:r>
              <m:r>
                <m:t>40.633</m:t>
              </m:r>
            </m:oMath>
            <w:r>
              <w:t xml:space="preserve">)</w:t>
            </w:r>
          </w:p>
        </w:tc>
        <w:tc>
          <w:tcPr/>
          <w:p>
            <w:pPr>
              <w:pStyle w:val="Compact"/>
              <w:jc w:val="left"/>
            </w:pPr>
            <w:r>
              <w:t xml:space="preserve">Nền tảng (CDCM)</w:t>
            </w:r>
          </w:p>
        </w:tc>
        <w:tc>
          <w:tcPr/>
          <w:p>
            <w:pPr>
              <w:pStyle w:val="Compact"/>
              <w:jc w:val="left"/>
            </w:pPr>
            <w:r>
              <w:t xml:space="preserve">Phân tầng năng suất theo vùng;</w:t>
            </w:r>
            <w:r>
              <w:t xml:space="preserve"> </w:t>
            </w:r>
            <w:r>
              <w:rPr>
                <w:bCs/>
                <w:b/>
              </w:rPr>
              <w:t xml:space="preserve">hiệu ứng lá chắn số</w:t>
            </w:r>
            <w:r>
              <w:t xml:space="preserve"> </w:t>
            </w:r>
            <w:r>
              <w:t xml:space="preserve">(rào cản ×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w:t>
            </w:r>
          </w:p>
        </w:tc>
        <w:tc>
          <w:tcPr/>
          <w:p>
            <w:pPr>
              <w:pStyle w:val="Compact"/>
              <w:jc w:val="left"/>
            </w:pPr>
            <w:r>
              <w:t xml:space="preserve">Đặt nền cho khung CDCM; nguồn gốc</w:t>
            </w:r>
            <w:r>
              <w:t xml:space="preserve"> </w:t>
            </w:r>
            <w:r>
              <w:t xml:space="preserve">“</w:t>
            </w:r>
            <w:r>
              <w:t xml:space="preserve">lá chắn số</w:t>
            </w:r>
            <w:r>
              <w:t xml:space="preserve">”</w:t>
            </w:r>
            <w:r>
              <w:t xml:space="preserve"> </w:t>
            </w:r>
            <w:r>
              <w:t xml:space="preserve">mà P7 mở rộng ra 50 nền</w:t>
            </w:r>
          </w:p>
        </w:tc>
      </w:tr>
      <w:tr>
        <w:tc>
          <w:tcPr/>
          <w:p>
            <w:pPr>
              <w:pStyle w:val="Compact"/>
              <w:jc w:val="left"/>
            </w:pPr>
            <w:r>
              <w:t xml:space="preserve">RQ1</w:t>
            </w:r>
          </w:p>
        </w:tc>
        <w:tc>
          <w:tcPr/>
          <w:p>
            <w:pPr>
              <w:pStyle w:val="Compact"/>
              <w:jc w:val="left"/>
            </w:pPr>
            <w:r>
              <w:t xml:space="preserve">P6 — Phân tích tổng hợp toàn cầu</w:t>
            </w:r>
          </w:p>
        </w:tc>
        <w:tc>
          <w:tcPr/>
          <w:p>
            <w:pPr>
              <w:pStyle w:val="Compact"/>
              <w:jc w:val="left"/>
            </w:pPr>
            <w:r>
              <w:t xml:space="preserve">H1, H5</w:t>
            </w:r>
          </w:p>
        </w:tc>
        <w:tc>
          <w:tcPr/>
          <w:p>
            <w:pPr>
              <w:pStyle w:val="Compact"/>
              <w:jc w:val="left"/>
            </w:pPr>
            <m:oMath>
              <m:r>
                <m:t>k</m:t>
              </m:r>
              <m:r>
                <m:rPr>
                  <m:sty m:val="p"/>
                </m:rPr>
                <m:t>=</m:t>
              </m:r>
              <m:r>
                <m:t>238</m:t>
              </m:r>
            </m:oMath>
            <w:r>
              <w:t xml:space="preserve">; hiệu ứng dương nhỏ</w:t>
            </w:r>
            <w:r>
              <w:t xml:space="preserve"> </w:t>
            </w:r>
            <m:oMath>
              <m:acc>
                <m:accPr>
                  <m:chr m:val="‾"/>
                </m:accPr>
                <m:e>
                  <m:r>
                    <m:t>r</m:t>
                  </m:r>
                </m:e>
              </m:acc>
              <m:r>
                <m:rPr>
                  <m:sty m:val="p"/>
                </m:rPr>
                <m:t>=</m:t>
              </m:r>
              <m:r>
                <m:t>0</m:t>
              </m:r>
              <m:r>
                <m:rPr>
                  <m:sty m:val="p"/>
                </m:rPr>
                <m:t>,</m:t>
              </m:r>
              <m:r>
                <m:t>074</m:t>
              </m:r>
            </m:oMath>
            <w:r>
              <w:t xml:space="preserve">; dị biệt cao</w:t>
            </w:r>
            <w:r>
              <w:t xml:space="preserve"> </w:t>
            </w:r>
            <m:oMath>
              <m:sSup>
                <m:e>
                  <m:r>
                    <m:t>I</m:t>
                  </m:r>
                </m:e>
                <m:sup>
                  <m:r>
                    <m:t>2</m:t>
                  </m:r>
                </m:sup>
              </m:sSup>
              <m:r>
                <m:rPr>
                  <m:sty m:val="p"/>
                </m:rPr>
                <m:t>=</m:t>
              </m:r>
              <m:r>
                <m:t>62</m:t>
              </m:r>
              <m:r>
                <m:rPr>
                  <m:sty m:val="p"/>
                </m:rPr>
                <m:t>,</m:t>
              </m:r>
              <m:r>
                <m:t>4</m:t>
              </m:r>
              <m:r>
                <m:rPr>
                  <m:sty m:val="p"/>
                </m:rPr>
                <m:t>%</m:t>
              </m:r>
            </m:oMath>
            <w:r>
              <w:t xml:space="preserve">; thể chế điều tiết</w:t>
            </w:r>
            <w:r>
              <w:t xml:space="preserve"> </w:t>
            </w:r>
            <m:oMath>
              <m:sSub>
                <m:e>
                  <m:r>
                    <m:t>Q</m:t>
                  </m:r>
                </m:e>
                <m:sub>
                  <m:r>
                    <m:t>M</m:t>
                  </m:r>
                </m:sub>
              </m:sSub>
              <m:r>
                <m:rPr>
                  <m:sty m:val="p"/>
                </m:rPr>
                <m:t>=</m:t>
              </m:r>
              <m:r>
                <m:t>17</m:t>
              </m:r>
              <m:r>
                <m:rPr>
                  <m:sty m:val="p"/>
                </m:rPr>
                <m:t>,</m:t>
              </m:r>
              <m:r>
                <m:t>35</m:t>
              </m:r>
            </m:oMath>
            <w:r>
              <w:t xml:space="preserve"> </w:t>
            </w:r>
            <w:r>
              <w:t xml:space="preserve">(</w:t>
            </w:r>
            <m:oMath>
              <m:r>
                <m:t>p</m:t>
              </m:r>
              <m:r>
                <m:rPr>
                  <m:sty m:val="p"/>
                </m:rPr>
                <m:t>=</m:t>
              </m:r>
              <m:r>
                <m:rPr>
                  <m:sty m:val="p"/>
                </m:rPr>
                <m:t>,</m:t>
              </m:r>
              <m:r>
                <m:t>002</m:t>
              </m:r>
            </m:oMath>
            <w:r>
              <w:t xml:space="preserve">)</w:t>
            </w:r>
          </w:p>
        </w:tc>
        <w:tc>
          <w:tcPr/>
          <w:p>
            <w:pPr>
              <w:pStyle w:val="Compact"/>
              <w:jc w:val="left"/>
            </w:pPr>
            <w:r>
              <w:t xml:space="preserve">Xác lập thực chứng rằng quan hệ I–P dương nhỏ nhưng</w:t>
            </w:r>
            <w:r>
              <w:t xml:space="preserve"> </w:t>
            </w:r>
            <w:r>
              <w:rPr>
                <w:bCs/>
                <w:b/>
              </w:rPr>
              <w:t xml:space="preserve">dị biệt do thể chế</w:t>
            </w:r>
            <w:r>
              <w:t xml:space="preserve"> </w:t>
            </w:r>
            <w:r>
              <w:t xml:space="preserve">— cơ sở cho trục ICRV</w:t>
            </w:r>
          </w:p>
        </w:tc>
      </w:tr>
      <w:tr>
        <w:tc>
          <w:tcPr/>
          <w:p>
            <w:pPr>
              <w:pStyle w:val="Compact"/>
              <w:jc w:val="left"/>
            </w:pPr>
            <w:r>
              <w:t xml:space="preserve">RQ2</w:t>
            </w:r>
          </w:p>
        </w:tc>
        <w:tc>
          <w:tcPr/>
          <w:p>
            <w:pPr>
              <w:pStyle w:val="Compact"/>
              <w:jc w:val="left"/>
            </w:pPr>
            <w:r>
              <w:t xml:space="preserve">P4 — Singapore (I)</w:t>
            </w:r>
          </w:p>
        </w:tc>
        <w:tc>
          <w:tcPr/>
          <w:p>
            <w:pPr>
              <w:pStyle w:val="Compact"/>
              <w:jc w:val="left"/>
            </w:pPr>
            <w:r>
              <w:t xml:space="preserve">H1, H3</w:t>
            </w:r>
          </w:p>
        </w:tc>
        <w:tc>
          <w:tcPr/>
          <w:p>
            <w:pPr>
              <w:pStyle w:val="Compact"/>
              <w:jc w:val="left"/>
            </w:pPr>
            <w:r>
              <w:t xml:space="preserve">Gần tuyến tính dương; điểm uốn ~88,6% (CI rộng, ngoài miền); DAI khuếch đại ở cường độ cao</w:t>
            </w:r>
          </w:p>
        </w:tc>
        <w:tc>
          <w:tcPr/>
          <w:p>
            <w:pPr>
              <w:pStyle w:val="Compact"/>
              <w:jc w:val="left"/>
            </w:pPr>
            <w:r>
              <w:t xml:space="preserve">Biên trên: đường cong</w:t>
            </w:r>
            <w:r>
              <w:t xml:space="preserve"> </w:t>
            </w:r>
            <w:r>
              <w:rPr>
                <w:bCs/>
                <w:b/>
              </w:rPr>
              <w:t xml:space="preserve">duỗi thẳng</w:t>
            </w:r>
            <w:r>
              <w:t xml:space="preserve"> </w:t>
            </w:r>
            <w:r>
              <w:t xml:space="preserve">khi đệm thể chế dày</w:t>
            </w:r>
          </w:p>
        </w:tc>
      </w:tr>
      <w:tr>
        <w:tc>
          <w:tcPr/>
          <w:p>
            <w:pPr>
              <w:pStyle w:val="Compact"/>
              <w:jc w:val="left"/>
            </w:pPr>
            <w:r>
              <w:t xml:space="preserve">RQ2</w:t>
            </w:r>
          </w:p>
        </w:tc>
        <w:tc>
          <w:tcPr/>
          <w:p>
            <w:pPr>
              <w:pStyle w:val="Compact"/>
              <w:jc w:val="left"/>
            </w:pPr>
            <w:r>
              <w:t xml:space="preserve">P3 — Việt Nam (IV)</w:t>
            </w:r>
          </w:p>
        </w:tc>
        <w:tc>
          <w:tcPr/>
          <w:p>
            <w:pPr>
              <w:pStyle w:val="Compact"/>
              <w:jc w:val="left"/>
            </w:pPr>
            <w:r>
              <w:t xml:space="preserve">H1, H2, H3</w:t>
            </w:r>
          </w:p>
        </w:tc>
        <w:tc>
          <w:tcPr/>
          <w:p>
            <w:pPr>
              <w:pStyle w:val="Compact"/>
              <w:jc w:val="left"/>
            </w:pPr>
            <w:r>
              <w:t xml:space="preserve">Chữ U ngược sắc nét, điểm uốn 39,3–46,2%; TCI điều tiết dương</w:t>
            </w:r>
          </w:p>
        </w:tc>
        <w:tc>
          <w:tcPr/>
          <w:p>
            <w:pPr>
              <w:pStyle w:val="Compact"/>
              <w:jc w:val="left"/>
            </w:pPr>
            <w:r>
              <w:t xml:space="preserve">Chế độ neo; phân biệt</w:t>
            </w:r>
            <w:r>
              <w:t xml:space="preserve"> </w:t>
            </w:r>
            <w:r>
              <w:rPr>
                <w:bCs/>
                <w:b/>
              </w:rPr>
              <w:t xml:space="preserve">biên tham gia</w:t>
            </w:r>
            <w:r>
              <w:t xml:space="preserve"> </w:t>
            </w:r>
            <w:r>
              <w:t xml:space="preserve">vs biên cường độ</w:t>
            </w:r>
          </w:p>
        </w:tc>
      </w:tr>
      <w:tr>
        <w:tc>
          <w:tcPr/>
          <w:p>
            <w:pPr>
              <w:pStyle w:val="Compact"/>
              <w:jc w:val="left"/>
            </w:pPr>
            <w:r>
              <w:t xml:space="preserve">RQ2</w:t>
            </w:r>
          </w:p>
        </w:tc>
        <w:tc>
          <w:tcPr/>
          <w:p>
            <w:pPr>
              <w:pStyle w:val="Compact"/>
              <w:jc w:val="left"/>
            </w:pPr>
            <w:r>
              <w:t xml:space="preserve">P5 — Trung Quốc 2012–2024 (III); P2 — DNVVN TQ</w:t>
            </w:r>
          </w:p>
        </w:tc>
        <w:tc>
          <w:tcPr/>
          <w:p>
            <w:pPr>
              <w:pStyle w:val="Compact"/>
              <w:jc w:val="left"/>
            </w:pPr>
            <w:r>
              <w:t xml:space="preserve">H1, H6</w:t>
            </w:r>
          </w:p>
        </w:tc>
        <w:tc>
          <w:tcPr/>
          <w:p>
            <w:pPr>
              <w:pStyle w:val="Compact"/>
              <w:jc w:val="left"/>
            </w:pPr>
            <w:r>
              <w:t xml:space="preserve">Điểm uốn ổn định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P2: 47,8%, bẫy vốn lưu động</w:t>
            </w:r>
          </w:p>
        </w:tc>
        <w:tc>
          <w:tcPr/>
          <w:p>
            <w:pPr>
              <w:pStyle w:val="Compact"/>
              <w:jc w:val="left"/>
            </w:pPr>
            <w:r>
              <w:rPr>
                <w:bCs/>
                <w:b/>
              </w:rPr>
              <w:t xml:space="preserve">Tính bền thời gian</w:t>
            </w:r>
            <w:r>
              <w:t xml:space="preserve"> </w:t>
            </w:r>
            <w:r>
              <w:t xml:space="preserve">của điểm uốn qua một thập kỷ</w:t>
            </w:r>
          </w:p>
        </w:tc>
      </w:tr>
      <w:tr>
        <w:tc>
          <w:tcPr/>
          <w:p>
            <w:pPr>
              <w:pStyle w:val="Compact"/>
              <w:jc w:val="left"/>
            </w:pPr>
            <w:r>
              <w:t xml:space="preserve">RQ3</w:t>
            </w:r>
          </w:p>
        </w:tc>
        <w:tc>
          <w:tcPr/>
          <w:p>
            <w:pPr>
              <w:pStyle w:val="Compact"/>
              <w:jc w:val="left"/>
            </w:pPr>
            <w:r>
              <w:t xml:space="preserve">P7 — Toàn mẫu 50 nền</w:t>
            </w:r>
          </w:p>
        </w:tc>
        <w:tc>
          <w:tcPr/>
          <w:p>
            <w:pPr>
              <w:pStyle w:val="Compact"/>
              <w:jc w:val="left"/>
            </w:pPr>
            <w:r>
              <w:t xml:space="preserve">H1, H2, H3, H5</w:t>
            </w:r>
          </w:p>
        </w:tc>
        <w:tc>
          <w:tcPr/>
          <w:p>
            <w:pPr>
              <w:pStyle w:val="Compact"/>
              <w:jc w:val="left"/>
            </w:pPr>
            <m:oMath>
              <m:r>
                <m:t>N</m:t>
              </m:r>
              <m:r>
                <m:rPr>
                  <m:sty m:val="p"/>
                </m:rPr>
                <m:t>=</m:t>
              </m:r>
              <m:r>
                <m:t>81.022</m:t>
              </m:r>
              <m:r>
                <m:rPr>
                  <m:sty m:val="p"/>
                </m:rPr>
                <m:t>/</m:t>
              </m:r>
              <m:r>
                <m:t>79.080</m:t>
              </m:r>
            </m:oMath>
            <w:r>
              <w:t xml:space="preserve">; điểm uốn 43,6–51,5%; TCI</w:t>
            </w:r>
            <w:r>
              <w:t xml:space="preserve"> </w:t>
            </w:r>
            <m:oMath>
              <m:r>
                <m:rPr>
                  <m:sty m:val="p"/>
                </m:rPr>
                <m:t>+</m:t>
              </m:r>
              <m:r>
                <m:t>0</m:t>
              </m:r>
              <m:r>
                <m:rPr>
                  <m:sty m:val="p"/>
                </m:rPr>
                <m:t>,</m:t>
              </m:r>
              <m:r>
                <m:t>141</m:t>
              </m:r>
            </m:oMath>
            <w:r>
              <w:t xml:space="preserve">, DAI</w:t>
            </w:r>
            <w:r>
              <w:t xml:space="preserve"> </w:t>
            </w:r>
            <m:oMath>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nâng mặt bằng</w:t>
            </w:r>
          </w:p>
        </w:tc>
        <w:tc>
          <w:tcPr/>
          <w:p>
            <w:pPr>
              <w:pStyle w:val="Compact"/>
              <w:jc w:val="left"/>
            </w:pPr>
            <w:r>
              <w:t xml:space="preserve">Khái quát hóa CDCM; TCI/DAI là</w:t>
            </w:r>
            <w:r>
              <w:t xml:space="preserve"> </w:t>
            </w:r>
            <w:r>
              <w:rPr>
                <w:bCs/>
                <w:b/>
              </w:rPr>
              <w:t xml:space="preserve">bộ nâng mặt bằng phổ quát</w:t>
            </w:r>
            <w:r>
              <w:t xml:space="preserve">, không uốn đường cong</w:t>
            </w:r>
          </w:p>
        </w:tc>
      </w:tr>
      <w:tr>
        <w:tc>
          <w:tcPr/>
          <w:p>
            <w:pPr>
              <w:pStyle w:val="Compact"/>
              <w:jc w:val="left"/>
            </w:pPr>
            <w:r>
              <w:t xml:space="preserve">RQ3</w:t>
            </w:r>
          </w:p>
        </w:tc>
        <w:tc>
          <w:tcPr/>
          <w:p>
            <w:pPr>
              <w:pStyle w:val="Compact"/>
              <w:jc w:val="left"/>
            </w:pPr>
            <w:r>
              <w:t xml:space="preserve">P8 — Pacific SIDS (VI)</w:t>
            </w:r>
          </w:p>
        </w:tc>
        <w:tc>
          <w:tcPr/>
          <w:p>
            <w:pPr>
              <w:pStyle w:val="Compact"/>
              <w:jc w:val="left"/>
            </w:pPr>
            <w:r>
              <w:t xml:space="preserve">H1b</w:t>
            </w:r>
          </w:p>
        </w:tc>
        <w:tc>
          <w:tcPr/>
          <w:p>
            <w:pPr>
              <w:pStyle w:val="Compact"/>
              <w:jc w:val="left"/>
            </w:pPr>
            <w:r>
              <w:t xml:space="preserve">Mất cấu trúc: độ dốc</w:t>
            </w:r>
            <w:r>
              <w:t xml:space="preserve"> </w:t>
            </w:r>
            <m:oMath>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độ cong</w:t>
            </w:r>
            <w:r>
              <w:t xml:space="preserve"> </w:t>
            </w:r>
            <m:oMath>
              <m:r>
                <m:rPr>
                  <m:sty m:val="p"/>
                </m:rPr>
                <m:t>+</m:t>
              </m:r>
              <m:r>
                <m:t>0</m:t>
              </m:r>
              <m:r>
                <m:rPr>
                  <m:sty m:val="p"/>
                </m:rPr>
                <m:t>,</m:t>
              </m:r>
              <m:r>
                <m:t>696</m:t>
              </m:r>
            </m:oMath>
            <w:r>
              <w:t xml:space="preserve"> </w:t>
            </w:r>
            <w:r>
              <w:t xml:space="preserve">(</w:t>
            </w:r>
            <m:oMath>
              <m:sSub>
                <m:e>
                  <m:r>
                    <m:t>p</m:t>
                  </m:r>
                </m:e>
                <m:sub>
                  <m:r>
                    <m:rPr>
                      <m:nor/>
                      <m:sty m:val="p"/>
                    </m:rPr>
                    <m:t>wild</m:t>
                  </m:r>
                </m:sub>
              </m:sSub>
              <m:r>
                <m:rPr>
                  <m:sty m:val="p"/>
                </m:rPr>
                <m:t>=</m:t>
              </m:r>
              <m:r>
                <m:rPr>
                  <m:sty m:val="p"/>
                </m:rPr>
                <m:t>,</m:t>
              </m:r>
              <m:r>
                <m:t>082</m:t>
              </m:r>
            </m:oMath>
            <w:r>
              <w:t xml:space="preserve"> </w:t>
            </w:r>
            <w:r>
              <w:t xml:space="preserve">biên);</w:t>
            </w:r>
            <w:r>
              <w:t xml:space="preserve"> </w:t>
            </w:r>
            <m:oMath>
              <m:r>
                <m:t>N</m:t>
              </m:r>
              <m:r>
                <m:rPr>
                  <m:sty m:val="p"/>
                </m:rPr>
                <m:t>=</m:t>
              </m:r>
              <m:r>
                <m:t>1.450</m:t>
              </m:r>
            </m:oMath>
          </w:p>
        </w:tc>
        <w:tc>
          <w:tcPr/>
          <w:p>
            <w:pPr>
              <w:pStyle w:val="Compact"/>
              <w:jc w:val="left"/>
            </w:pPr>
            <w:r>
              <w:t xml:space="preserve">Định danh</w:t>
            </w:r>
            <w:r>
              <w:t xml:space="preserve"> </w:t>
            </w:r>
            <w:r>
              <w:rPr>
                <w:bCs/>
                <w:b/>
              </w:rPr>
              <w:t xml:space="preserve">FIP</w:t>
            </w:r>
            <w:r>
              <w:t xml:space="preserve"> </w:t>
            </w:r>
            <w:r>
              <w:t xml:space="preserve">— điều kiện biên cực trị của chữ U ngược</w:t>
            </w:r>
          </w:p>
        </w:tc>
      </w:tr>
      <w:tr>
        <w:tc>
          <w:tcPr/>
          <w:p>
            <w:pPr>
              <w:pStyle w:val="Compact"/>
              <w:jc w:val="left"/>
            </w:pPr>
            <w:r>
              <w:t xml:space="preserve">RQ4</w:t>
            </w:r>
          </w:p>
        </w:tc>
        <w:tc>
          <w:tcPr/>
          <w:p>
            <w:pPr>
              <w:pStyle w:val="Compact"/>
              <w:jc w:val="left"/>
            </w:pPr>
            <w:r>
              <w:t xml:space="preserve">P7 — Toàn phổ ICRV</w:t>
            </w:r>
          </w:p>
        </w:tc>
        <w:tc>
          <w:tcPr/>
          <w:p>
            <w:pPr>
              <w:pStyle w:val="Compact"/>
              <w:jc w:val="left"/>
            </w:pPr>
            <w:r>
              <w:t xml:space="preserve">H5</w:t>
            </w:r>
          </w:p>
        </w:tc>
        <w:tc>
          <w:tcPr/>
          <w:p>
            <w:pPr>
              <w:pStyle w:val="Compact"/>
              <w:jc w:val="left"/>
            </w:pPr>
            <w:r>
              <w:t xml:space="preserve">Điểm uốn dịch theo chế độ (Nhóm IV 43,0% → Nhóm I gần tuyến tính → Nhóm V/VI mất cấu trúc)</w:t>
            </w:r>
          </w:p>
        </w:tc>
        <w:tc>
          <w:tcPr/>
          <w:p>
            <w:pPr>
              <w:pStyle w:val="Compact"/>
              <w:jc w:val="left"/>
            </w:pPr>
            <w:r>
              <w:t xml:space="preserve">Thể chế điều tiết cả</w:t>
            </w:r>
            <w:r>
              <w:t xml:space="preserve"> </w:t>
            </w:r>
            <w:r>
              <w:rPr>
                <w:bCs/>
                <w:b/>
              </w:rPr>
              <w:t xml:space="preserve">dạng hàm</w:t>
            </w:r>
            <w:r>
              <w:t xml:space="preserve">, không chỉ độ lớn —</w:t>
            </w:r>
            <w:r>
              <w:t xml:space="preserve"> </w:t>
            </w:r>
            <w:r>
              <w:t xml:space="preserve">“</w:t>
            </w:r>
            <w:r>
              <w:t xml:space="preserve">có điều kiện theo bối cảnh</w:t>
            </w:r>
            <w:r>
              <w:t xml:space="preserve">”</w:t>
            </w:r>
          </w:p>
        </w:tc>
      </w:tr>
      <w:tr>
        <w:tc>
          <w:tcPr/>
          <w:p>
            <w:pPr>
              <w:pStyle w:val="Compact"/>
              <w:jc w:val="left"/>
            </w:pPr>
            <w:r>
              <w:t xml:space="preserve">RQ4</w:t>
            </w:r>
          </w:p>
        </w:tc>
        <w:tc>
          <w:tcPr/>
          <w:p>
            <w:pPr>
              <w:pStyle w:val="Compact"/>
              <w:jc w:val="left"/>
            </w:pPr>
            <w:r>
              <w:t xml:space="preserve">P9 — Ấn Độ 2014–2025 (IV)</w:t>
            </w:r>
          </w:p>
        </w:tc>
        <w:tc>
          <w:tcPr/>
          <w:p>
            <w:pPr>
              <w:pStyle w:val="Compact"/>
              <w:jc w:val="left"/>
            </w:pPr>
            <w:r>
              <w:t xml:space="preserve">H1c</w:t>
            </w:r>
          </w:p>
        </w:tc>
        <w:tc>
          <w:tcPr/>
          <w:p>
            <w:pPr>
              <w:pStyle w:val="Compact"/>
              <w:jc w:val="left"/>
            </w:pPr>
            <w:r>
              <w:rPr>
                <w:bCs/>
                <w:b/>
              </w:rPr>
              <w:t xml:space="preserve">Tan biến</w:t>
            </w:r>
            <w:r>
              <w:t xml:space="preserve"> </w:t>
            </w:r>
            <w:r>
              <w:t xml:space="preserve">điểm uốn: 61,8% (2014) → 40,7% (2022) →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w:t>
            </w:r>
          </w:p>
        </w:tc>
        <w:tc>
          <w:tcPr/>
          <w:p>
            <w:pPr>
              <w:pStyle w:val="Compact"/>
              <w:jc w:val="left"/>
            </w:pPr>
            <w:r>
              <w:t xml:space="preserve">Chuyển đổi thể chế cực mạnh</w:t>
            </w:r>
            <w:r>
              <w:t xml:space="preserve"> </w:t>
            </w:r>
            <w:r>
              <w:rPr>
                <w:bCs/>
                <w:b/>
              </w:rPr>
              <w:t xml:space="preserve">hòa tan</w:t>
            </w:r>
            <w:r>
              <w:t xml:space="preserve"> </w:t>
            </w:r>
            <w:r>
              <w:t xml:space="preserve">chứ không chỉ dịch ngưỡng (điều kiện biên thời gian)</w:t>
            </w:r>
          </w:p>
        </w:tc>
      </w:tr>
      <w:tr>
        <w:tc>
          <w:tcPr/>
          <w:p>
            <w:pPr>
              <w:pStyle w:val="Compact"/>
              <w:jc w:val="left"/>
            </w:pPr>
            <w:r>
              <w:t xml:space="preserve">RQ4</w:t>
            </w:r>
          </w:p>
        </w:tc>
        <w:tc>
          <w:tcPr/>
          <w:p>
            <w:pPr>
              <w:pStyle w:val="Compact"/>
              <w:jc w:val="left"/>
            </w:pPr>
            <w:r>
              <w:t xml:space="preserve">P10 — Nhật Bản 2025 (I)</w:t>
            </w:r>
          </w:p>
        </w:tc>
        <w:tc>
          <w:tcPr/>
          <w:p>
            <w:pPr>
              <w:pStyle w:val="Compact"/>
              <w:jc w:val="left"/>
            </w:pPr>
            <w:r>
              <w:t xml:space="preserve">H1 (biên trên)</w:t>
            </w:r>
          </w:p>
        </w:tc>
        <w:tc>
          <w:tcPr/>
          <w:p>
            <w:pPr>
              <w:pStyle w:val="Compact"/>
              <w:jc w:val="left"/>
            </w:pPr>
            <w:r>
              <w:t xml:space="preserve">Gần tuyến tính dương, điểm uốn ngoài miền; phần bù xuất khẩu 25,8%</w:t>
            </w:r>
          </w:p>
        </w:tc>
        <w:tc>
          <w:tcPr/>
          <w:p>
            <w:pPr>
              <w:pStyle w:val="Compact"/>
              <w:jc w:val="left"/>
            </w:pPr>
            <w:r>
              <w:t xml:space="preserve">Xác nhận</w:t>
            </w:r>
            <w:r>
              <w:t xml:space="preserve"> </w:t>
            </w:r>
            <w:r>
              <w:rPr>
                <w:bCs/>
                <w:b/>
              </w:rPr>
              <w:t xml:space="preserve">dự đoán biên trên</w:t>
            </w:r>
            <w:r>
              <w:t xml:space="preserve">; cơ chế biên tham gia (Melitz, 2003)</w:t>
            </w:r>
          </w:p>
        </w:tc>
      </w:tr>
      <w:tr>
        <w:tc>
          <w:tcPr/>
          <w:p>
            <w:pPr>
              <w:pStyle w:val="Compact"/>
              <w:jc w:val="left"/>
            </w:pPr>
            <w:r>
              <w:t xml:space="preserve">RQ4</w:t>
            </w:r>
          </w:p>
        </w:tc>
        <w:tc>
          <w:tcPr/>
          <w:p>
            <w:pPr>
              <w:pStyle w:val="Compact"/>
              <w:jc w:val="left"/>
            </w:pPr>
            <w:r>
              <w:t xml:space="preserve">Chương sách — Ấn Độ, quản trị (IV)</w:t>
            </w:r>
          </w:p>
        </w:tc>
        <w:tc>
          <w:tcPr/>
          <w:p>
            <w:pPr>
              <w:pStyle w:val="Compact"/>
              <w:jc w:val="left"/>
            </w:pPr>
            <w:r>
              <w:t xml:space="preserve">H4</w:t>
            </w:r>
          </w:p>
        </w:tc>
        <w:tc>
          <w:tcPr/>
          <w:p>
            <w:pPr>
              <w:pStyle w:val="Compact"/>
              <w:jc w:val="left"/>
            </w:pPr>
            <w:r>
              <w:t xml:space="preserve">ROS: kinh nghiệm</w:t>
            </w:r>
            <w:r>
              <w:t xml:space="preserve"> </w:t>
            </w:r>
            <m:oMath>
              <m:r>
                <m:rPr>
                  <m:sty m:val="p"/>
                </m:rPr>
                <m:t>+</m:t>
              </m:r>
              <m:r>
                <m:t>1</m:t>
              </m:r>
              <m:r>
                <m:rPr>
                  <m:sty m:val="p"/>
                </m:rPr>
                <m:t>,</m:t>
              </m:r>
              <m:r>
                <m:t>55</m:t>
              </m:r>
            </m:oMath>
            <w:r>
              <w:t xml:space="preserve">, lãnh đạo nữ</w:t>
            </w:r>
            <w:r>
              <w:t xml:space="preserve"> </w:t>
            </w:r>
            <m:oMath>
              <m:r>
                <m:rPr>
                  <m:sty m:val="p"/>
                </m:rPr>
                <m:t>+</m:t>
              </m:r>
              <m:r>
                <m:t>77</m:t>
              </m:r>
              <m:r>
                <m:rPr>
                  <m:sty m:val="p"/>
                </m:rPr>
                <m:t>,</m:t>
              </m:r>
              <m:r>
                <m:t>03</m:t>
              </m:r>
            </m:oMath>
            <w:r>
              <w:t xml:space="preserve"> </w:t>
            </w:r>
            <w:r>
              <w:t xml:space="preserve">điều tiết dương (</w:t>
            </w:r>
            <m:oMath>
              <m:r>
                <m:t>N</m:t>
              </m:r>
              <m:r>
                <m:rPr>
                  <m:sty m:val="p"/>
                </m:rPr>
                <m:t>=</m:t>
              </m:r>
              <m:r>
                <m:t>380</m:t>
              </m:r>
            </m:oMath>
            <w:r>
              <w:t xml:space="preserve">)</w:t>
            </w:r>
          </w:p>
        </w:tc>
        <w:tc>
          <w:tcPr/>
          <w:p>
            <w:pPr>
              <w:pStyle w:val="Compact"/>
              <w:jc w:val="left"/>
            </w:pPr>
            <w:r>
              <w:t xml:space="preserve">Bằng chứng đơn quốc gia cho</w:t>
            </w:r>
            <w:r>
              <w:t xml:space="preserve"> </w:t>
            </w:r>
            <w:r>
              <w:rPr>
                <w:bCs/>
                <w:b/>
              </w:rPr>
              <w:t xml:space="preserve">tầng quản trị</w:t>
            </w:r>
            <w:r>
              <w:t xml:space="preserve"> </w:t>
            </w:r>
            <w:r>
              <w:t xml:space="preserve">của CDCM</w:t>
            </w:r>
          </w:p>
        </w:tc>
      </w:tr>
    </w:tbl>
    <w:p>
      <w:pPr>
        <w:pStyle w:val="BodyText"/>
      </w:pPr>
      <w:r>
        <w:rPr>
          <w:iCs/>
          <w:i/>
        </w:rPr>
        <w:t xml:space="preserve">Ghi chú: Các con số trích nguyên từ Mục 5.6.1 và các mục kết quả tương ứng (Mục 4.2–4.9). Nhóm ICRV: I = tiên tiến đổi mới; III = trung bình cao; IV = chuyển đổi thu nhập trung bình thấp; VI = SIDS. Nguồn: tác giả tổng hợp.</w:t>
      </w:r>
    </w:p>
    <w:p>
      <w:pPr>
        <w:pStyle w:val="BodyText"/>
      </w:pPr>
      <w:r>
        <w:t xml:space="preserve">Đọc dọc Bảng 5.1, toàn bộ mười nghiên cứu thành phần cùng chương sách bổ sung — nghiên cứu nền tảng 17 nền (P1), một phân tích tổng hợp toàn cầu (P6), năm ước lượng đơn quốc gia trải khắp phổ thể chế (P2–P5, P9), một kiểm định toàn mẫu 50 nền (P7), hai trường hợp biên (P8 SIDS, P10 Nhật Bản), và bằng chứng tầng quản trị từ chương sách — hội tụ về</w:t>
      </w:r>
      <w:r>
        <w:t xml:space="preserve"> </w:t>
      </w:r>
      <w:r>
        <w:rPr>
          <w:bCs/>
          <w:b/>
        </w:rPr>
        <w:t xml:space="preserve">một tuyên bố lý thuyết duy nhất có thể bác bỏ</w:t>
      </w:r>
      <w:r>
        <w:t xml:space="preserve">:</w:t>
      </w:r>
      <w:r>
        <w:t xml:space="preserve"> </w:t>
      </w:r>
      <w:r>
        <w:rPr>
          <w:iCs/>
          <w:i/>
        </w:rPr>
        <w:t xml:space="preserve">mức độ quốc tế hóa cải thiện hiệu quả doanh nghiệp theo một dạng hàm mà bản thân dạng hàm đó là một hàm của vị trí thể chế</w:t>
      </w:r>
      <w:r>
        <w:t xml:space="preserve">. Cụ thể, độ dày đệm thể chế quyết định liệu quan hệ I–P là gần tuyến tính dương (biên trên), chữ U ngược sắc nét (chế độ chuyển đổi), hay mất cấu trúc và đảo dấu (biên dưới). Tuyên bố này nâng luận điểm kinh điển</w:t>
      </w:r>
      <w:r>
        <w:t xml:space="preserve"> </w:t>
      </w:r>
      <w:r>
        <w:t xml:space="preserve">“</w:t>
      </w:r>
      <w:r>
        <w:t xml:space="preserve">bối cảnh quan trọng</w:t>
      </w:r>
      <w:r>
        <w:t xml:space="preserve">”</w:t>
      </w:r>
      <w:r>
        <w:t xml:space="preserve"> </w:t>
      </w:r>
      <w:r>
        <w:t xml:space="preserve">từ một nhận định định tính (thể chế điều tiết</w:t>
      </w:r>
      <w:r>
        <w:t xml:space="preserve"> </w:t>
      </w:r>
      <w:r>
        <w:rPr>
          <w:iCs/>
          <w:i/>
        </w:rPr>
        <w:t xml:space="preserve">độ lớn</w:t>
      </w:r>
      <w:r>
        <w:t xml:space="preserve"> </w:t>
      </w:r>
      <w:r>
        <w:t xml:space="preserve">hiệu ứng) lên một mệnh đề định lượng kiểm định được (thể chế điều tiết</w:t>
      </w:r>
      <w:r>
        <w:t xml:space="preserve"> </w:t>
      </w:r>
      <w:r>
        <w:rPr>
          <w:iCs/>
          <w:i/>
        </w:rPr>
        <w:t xml:space="preserve">dấu và dạng</w:t>
      </w:r>
      <w:r>
        <w:t xml:space="preserve"> </w:t>
      </w:r>
      <w:r>
        <w:t xml:space="preserve">hiệu ứng), và xác định tường minh điểm — chế độ SIDS — mà tại đó cả họ lý thuyết chữ U ngược không còn ứng dụng được.</w:t>
      </w:r>
    </w:p>
    <w:bookmarkEnd w:id="270"/>
    <w:bookmarkEnd w:id="271"/>
    <w:bookmarkStart w:id="279" w:name="so-sánh-với-nghiên-cứu-trước-đây"/>
    <w:p>
      <w:pPr>
        <w:pStyle w:val="Heading2"/>
      </w:pPr>
      <w:r>
        <w:t xml:space="preserve">5.2 So sánh với nghiên cứu trước đây</w:t>
      </w:r>
    </w:p>
    <w:bookmarkStart w:id="272"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tổng hợp đơn tầng không cung cấp. Điều này thay đổi hiểu biết về nguồn gốc của dị biệt trong tài liệu, vấn đề chủ yếu là</w:t>
      </w:r>
      <w:r>
        <w:t xml:space="preserve"> </w:t>
      </w:r>
      <w:r>
        <w:rPr>
          <w:bCs/>
          <w:b/>
        </w:rPr>
        <w:t xml:space="preserve">đo lường bên trong nghiên cứu</w:t>
      </w:r>
      <w:r>
        <w:t xml:space="preserve">, không phải sự bất đồng căn bản giữa các nghiên cứu.</w:t>
      </w:r>
    </w:p>
    <w:bookmarkEnd w:id="272"/>
    <w:bookmarkStart w:id="273"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tại SIDS, nơi dạng chữ U ngược</w:t>
      </w:r>
      <w:r>
        <w:t xml:space="preserve"> </w:t>
      </w:r>
      <w:r>
        <w:rPr>
          <w:bCs/>
          <w:b/>
        </w:rPr>
        <w:t xml:space="preserve">mất cấu trúc</w:t>
      </w:r>
      <w:r>
        <w:t xml:space="preserve"> </w:t>
      </w:r>
      <w:r>
        <w:t xml:space="preserve">(không còn độ cong hay độ dốc có ý nghĩa) thay vì tuân theo đường cong chữ S hay chữ U ngược; FIP được nêu như trường hợp giới hạn lý thuyết của sự mất cấu trúc đó, một biên mà cả lý thuyết ba giai đoạn lẫn đường cong chữ S đều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tài liệu Lu và Beamish.</w:t>
      </w:r>
    </w:p>
    <w:bookmarkEnd w:id="273"/>
    <w:bookmarkStart w:id="274"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tài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phổ thể chế. Quan trọng hơn việc mất thông tin, phân loại nhị phân tạo ra một sai lệch triệt tiêu dấu khi gộp: dưới một nhãn</w:t>
      </w:r>
      <w:r>
        <w:t xml:space="preserve"> </w:t>
      </w:r>
      <w:r>
        <w:t xml:space="preserve">“</w:t>
      </w:r>
      <w:r>
        <w:t xml:space="preserve">mới nổi</w:t>
      </w:r>
      <w:r>
        <w:t xml:space="preserve">”</w:t>
      </w:r>
      <w:r>
        <w:t xml:space="preserve"> </w:t>
      </w:r>
      <w:r>
        <w:t xml:space="preserve">duy nhất, hệ số điều tiết của Marano et al. (2016) lấy trung bình đồng thời các nền có độ cong chữ U ngược âm rõ (Trung Quốc, Việt Nam), các nền gần tuyến tính, và các nền đảo nhỏ có quan hệ âm đơn điệu (FIP) với độ cong bậc hai không tạo điểm uốn nội vùng; kết quả là một hệ số điều tiết gộp che lấp chính sự phân kỳ mà nó cần bộc lộ. Đóng góp của ICRV do đó không nằm ở chỗ</w:t>
      </w:r>
      <w:r>
        <w:t xml:space="preserve"> </w:t>
      </w:r>
      <w:r>
        <w:t xml:space="preserve">“</w:t>
      </w:r>
      <w:r>
        <w:t xml:space="preserve">có nhiều nhóm hơn</w:t>
      </w:r>
      <w:r>
        <w:t xml:space="preserve">”</w:t>
      </w:r>
      <w:r>
        <w:t xml:space="preserve"> </w:t>
      </w:r>
      <w:r>
        <w:t xml:space="preserve">mà ở chỗ tránh được hiện tượng triệt tiêu dấu trong nội bộ nhóm mới nổi, qua đó phục hồi thông tin phổ thể chế mà thước đo nhị phân làm mất.</w:t>
      </w:r>
    </w:p>
    <w:p>
      <w:pPr>
        <w:pStyle w:val="BodyText"/>
      </w:pPr>
      <w:r>
        <w:t xml:space="preserve">Cách đọc điều tiết theo chế độ thể chế này nhất quán với dòng bằng chứng tổng hợp rộng hơn rằng quan hệ quốc tế hóa và hiệu quả bị ràng buộc bởi bối cảnh hơn là tuân theo một quy luật phổ quát. Beugelsdijk et al. (2018), qua một phân tích tổng hợp về khoảng cách văn hóa và quá trình quốc tế hóa của doanh nghiệp, cho thấy hệ quả của quốc tế hóa phụ thuộc một cách hệ thống vào khoảng cách văn hóa và thể chế giữa thị trường nguồn và thị trường đích; còn Debicki et al. (2020) ghi nhận rằng cường độ xuất khẩu làm suy yếu quan hệ quốc tế hóa và hiệu quả ở doanh nghiệp gia đình. Cả hai củng cố luận điểm rằng phổ ICRV nắm bắt đúng chiều bối cảnh, khoảng cách và cường độ tham gia, mà các thước đo nhị phân bỏ sót.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274"/>
    <w:bookmarkStart w:id="275"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mất cấu trúc hoặc đảo dấu ở biên thể chế yếu (Nhóm V và VI). Phép lấy trung bình này tất yếu tạo ra một tín hiệu gộp bị nén và bất ổn, đúng như các nghiên cứu nhân rộng ghi nhận. Như vậy, kết quả của luận án không mâu thuẫn với tài liệu nhân rộng mà giải thích nó: tính phân tán của các kết quả gộp không phải bằng chứng rằng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p>
      <w:pPr>
        <w:pStyle w:val="BodyText"/>
      </w:pPr>
      <w:r>
        <w:t xml:space="preserve">Một phản biện sắc bén có thể nêu là bản thân cấu trúc ba vùng có nguy cơ là tạo tác của việc nhà nghiên cứu tự chọn điểm cắt ICRV, tức một dạng dò tìm dạng mô hình hậu nghiệm thay vì một quy luật. Hai đặc điểm của thiết kế bác bỏ cách đọc này. Thứ nhất, các điểm cắt ICRV được xác định trước trên các chỉ báo thể chế (chỉ số quản trị toàn cầu, mức phát triển, đặc trưng cấu trúc), độc lập với biến kết quả quốc tế hóa và hiệu quả, nên chúng không thể được nắn để khớp với hình dạng đường cong. Thứ hai, các ước lượng điểm uốn đơn quốc gia độc lập, Việt Nam (khoảng 39–46% qua ba đợt) và Trung Quốc (khoảng 47–49% qua hai đợt), hội tụ về cùng một dải vùng giữa mà không hề bị ràng buộc phải làm vậy, một sự trùng khớp ngoài mẫu khó nảy sinh từ việc dò tìm dạng mô hình. Hai đặc điểm này, kết hợp với tam giác hóa giữa phân tích tổng hợp và ước lượng gộp ở Mục 5.2.5, đặt cấu trúc ba vùng trên nền tảng xác nhận chéo chứ không phải trên tự do bậc mô hình.</w:t>
      </w:r>
    </w:p>
    <w:bookmarkEnd w:id="275"/>
    <w:bookmarkStart w:id="276"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(qua kiểm định tổng thể, omnibus) rằng các chế độ thể chế ICRV khác biệt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kiểm định này chỉ khẳng định</w:t>
      </w:r>
      <w:r>
        <w:t xml:space="preserve"> </w:t>
      </w:r>
      <w:r>
        <w:rPr>
          <w:iCs/>
          <w:i/>
        </w:rPr>
        <w:t xml:space="preserve">có</w:t>
      </w:r>
      <w:r>
        <w:t xml:space="preserve"> </w:t>
      </w:r>
      <w:r>
        <w:t xml:space="preserve">khác biệt giữa các chế độ, còn cấu trúc</w:t>
      </w:r>
      <w:r>
        <w:t xml:space="preserve"> </w:t>
      </w:r>
      <w:r>
        <w:rPr>
          <w:iCs/>
          <w:i/>
        </w:rPr>
        <w:t xml:space="preserve">hướng</w:t>
      </w:r>
      <w:r>
        <w:t xml:space="preserve"> </w:t>
      </w:r>
      <w:r>
        <w:t xml:space="preserve">của gradient do P7 cung cấp chứ không phải P6 (xem Mục 4.6.2). Ước lượng gộp toàn mẫu trên dữ liệu doanh nghiệp gốc của 50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vượt quá tổng của hai phần.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276"/>
    <w:bookmarkStart w:id="277"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nghiên cứu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thiết lập mô hình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Cụ thể hơn,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277"/>
    <w:bookmarkStart w:id="278" w:name="X09b1da89329931737a984ea1513fd5f13b0d821"/>
    <w:p>
      <w:pPr>
        <w:pStyle w:val="Heading3"/>
      </w:pPr>
      <w:r>
        <w:t xml:space="preserve">5.2.7 Đặt vào dòng nghiên cứu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nghiên cứu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hoạt động kinh doanh của doanh nghiệp ở các nền kinh tế mới nổi, trong đó tính động công nghệ tạo tương tác dương còn tính động thị trường tạo tương tác âm. Bằng chứng phổ thể chế ICRV của luận án mở rộng quan sát này từ một mẫu khu vực sang khung 50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tài liệu mới nổi về năng lực số như đòn bẩy quốc tế hóa cho doanh nghiệp nhỏ và vừa trong môi trường thể chế kém hoàn thiện (Banalieva &amp; Dhanaraj, 2019; Chen &amp; Meng, 2022),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278"/>
    <w:bookmarkEnd w:id="279"/>
    <w:bookmarkStart w:id="290" w:name="đóng-góp-lý-thuyết-1"/>
    <w:p>
      <w:pPr>
        <w:pStyle w:val="Heading2"/>
      </w:pPr>
      <w:r>
        <w:t xml:space="preserve">5.3 Đóng góp lý thuyết</w:t>
      </w:r>
    </w:p>
    <w:bookmarkStart w:id="280" w:name="khung-đánh-giá-đóng-góp-lý-thuyết"/>
    <w:p>
      <w:pPr>
        <w:pStyle w:val="Heading3"/>
      </w:pPr>
      <w:r>
        <w:t xml:space="preserve">5.3.0 Khung đánh giá đóng góp lý thuyết</w:t>
      </w:r>
    </w:p>
    <w:p>
      <w:pPr>
        <w:pStyle w:val="FirstParagraph"/>
      </w:pPr>
      <w:r>
        <w:t xml:space="preserve">Trước khi trình bày từng đóng góp, mục này định vị chúng theo hai tiêu chí được chấp nhận rộng rãi để đánh giá đóng góp lý thuyết trong nghiên cứu quản trị và kinh doanh quốc tế:</w:t>
      </w:r>
      <w:r>
        <w:t xml:space="preserve"> </w:t>
      </w:r>
      <w:r>
        <w:rPr>
          <w:bCs/>
          <w:b/>
        </w:rPr>
        <w:t xml:space="preserve">tính nguyên gốc và tính hữu dụng</w:t>
      </w:r>
      <w:r>
        <w:t xml:space="preserve"> </w:t>
      </w:r>
      <w:r>
        <w:t xml:space="preserve">(originality × utility; Corley &amp; Gioia, 2011), và bộ ba câu hỏi</w:t>
      </w:r>
      <w:r>
        <w:t xml:space="preserve"> </w:t>
      </w:r>
      <w:r>
        <w:rPr>
          <w:bCs/>
          <w:b/>
        </w:rPr>
        <w:t xml:space="preserve">“</w:t>
      </w:r>
      <w:r>
        <w:rPr>
          <w:bCs/>
          <w:b/>
        </w:rPr>
        <w:t xml:space="preserve">cái gì – như thế nào – vì sao</w:t>
      </w:r>
      <w:r>
        <w:rPr>
          <w:bCs/>
          <w:b/>
        </w:rPr>
        <w:t xml:space="preserve">”</w:t>
      </w:r>
      <w:r>
        <w:t xml:space="preserve"> </w:t>
      </w:r>
      <w:r>
        <w:t xml:space="preserve">mà một đóng góp lý thuyết phải trả lời (Whetten, 1989). Theo Corley và Gioia (2011), một đóng góp có giá trị phải vừa</w:t>
      </w:r>
      <w:r>
        <w:t xml:space="preserve"> </w:t>
      </w:r>
      <w:r>
        <w:rPr>
          <w:iCs/>
          <w:i/>
        </w:rPr>
        <w:t xml:space="preserve">nguyên gốc</w:t>
      </w:r>
      <w:r>
        <w:t xml:space="preserve"> </w:t>
      </w:r>
      <w:r>
        <w:t xml:space="preserve">(tăng tiến hoặc mở đường mới) vừa</w:t>
      </w:r>
      <w:r>
        <w:t xml:space="preserve"> </w:t>
      </w:r>
      <w:r>
        <w:rPr>
          <w:iCs/>
          <w:i/>
        </w:rPr>
        <w:t xml:space="preserve">hữu dụng</w:t>
      </w:r>
      <w:r>
        <w:t xml:space="preserve"> </w:t>
      </w:r>
      <w:r>
        <w:t xml:space="preserve">(cho khoa học hoặc thực tiễn); luận án định vị mỗi đóng góp trên cả hai trục này thay vì chỉ tuyên bố tính mới.</w:t>
      </w:r>
    </w:p>
    <w:p>
      <w:pPr>
        <w:pStyle w:val="BodyText"/>
      </w:pPr>
      <w:r>
        <w:t xml:space="preserve">Điểm phân biệt cốt lõi giữa</w:t>
      </w:r>
      <w:r>
        <w:t xml:space="preserve"> </w:t>
      </w:r>
      <w:r>
        <w:rPr>
          <w:bCs/>
          <w:b/>
        </w:rPr>
        <w:t xml:space="preserve">đóng góp</w:t>
      </w:r>
      <w:r>
        <w:t xml:space="preserve"> </w:t>
      </w:r>
      <w:r>
        <w:t xml:space="preserve">và</w:t>
      </w:r>
      <w:r>
        <w:t xml:space="preserve"> </w:t>
      </w:r>
      <w:r>
        <w:rPr>
          <w:bCs/>
          <w:b/>
        </w:rPr>
        <w:t xml:space="preserve">nhân rộng</w:t>
      </w:r>
      <w:r>
        <w:t xml:space="preserve"> </w:t>
      </w:r>
      <w:r>
        <w:t xml:space="preserve">(replication) được giữ tường minh: việc tái xác nhận chữ U ngược ở từng bối cảnh đơn lẻ (P3, P4, P5) tự nó là</w:t>
      </w:r>
      <w:r>
        <w:t xml:space="preserve"> </w:t>
      </w:r>
      <w:r>
        <w:rPr>
          <w:iCs/>
          <w:i/>
        </w:rPr>
        <w:t xml:space="preserve">nhân rộng</w:t>
      </w:r>
      <w:r>
        <w:t xml:space="preserve"> </w:t>
      </w:r>
      <w:r>
        <w:t xml:space="preserve">có giá trị xác nhận nhưng không phải đóng góp lý thuyết mới; đóng góp nằm ở</w:t>
      </w:r>
      <w:r>
        <w:t xml:space="preserve"> </w:t>
      </w:r>
      <w:r>
        <w:rPr>
          <w:iCs/>
          <w:i/>
        </w:rPr>
        <w:t xml:space="preserve">cấu trúc hóa</w:t>
      </w:r>
      <w:r>
        <w:t xml:space="preserve"> </w:t>
      </w:r>
      <w:r>
        <w:t xml:space="preserve">sự biến thiên xuyên bối cảnh của dạng hàm đó thành một quy luật kiểm định được. Tương ứng, mỗi đóng góp dưới đây được phát biểu dưới dạng</w:t>
      </w:r>
      <w:r>
        <w:t xml:space="preserve"> </w:t>
      </w:r>
      <w:r>
        <w:rPr>
          <w:bCs/>
          <w:b/>
        </w:rPr>
        <w:t xml:space="preserve">mệnh đề có thể bác bỏ</w:t>
      </w:r>
      <w:r>
        <w:t xml:space="preserve"> </w:t>
      </w:r>
      <w:r>
        <w:t xml:space="preserve">(falsifiable) kèm</w:t>
      </w:r>
      <w:r>
        <w:t xml:space="preserve"> </w:t>
      </w:r>
      <w:r>
        <w:rPr>
          <w:bCs/>
          <w:b/>
        </w:rPr>
        <w:t xml:space="preserve">điều kiện phạm vi</w:t>
      </w:r>
      <w:r>
        <w:t xml:space="preserve"> </w:t>
      </w:r>
      <w:r>
        <w:t xml:space="preserve">(scope conditions) tường minh — đặc điểm mà khung CDCM–ICRV–FIP đáp ứng vì nó dự đoán</w:t>
      </w:r>
      <w:r>
        <w:t xml:space="preserve"> </w:t>
      </w:r>
      <w:r>
        <w:rPr>
          <w:iCs/>
          <w:i/>
        </w:rPr>
        <w:t xml:space="preserve">trước</w:t>
      </w:r>
      <w:r>
        <w:t xml:space="preserve"> </w:t>
      </w:r>
      <w:r>
        <w:t xml:space="preserve">vị trí và sự tồn tại của điểm uốn theo chế độ thể chế, do đó có thể sai nếu dữ liệu không khớp. Bốn đóng góp dưới đây (5.3.1–5.3.7) lần lượt trả lời:</w:t>
      </w:r>
      <w:r>
        <w:t xml:space="preserve"> </w:t>
      </w:r>
      <w:r>
        <w:rPr>
          <w:iCs/>
          <w:i/>
        </w:rPr>
        <w:t xml:space="preserve">cái gì</w:t>
      </w:r>
      <w:r>
        <w:t xml:space="preserve"> </w:t>
      </w:r>
      <w:r>
        <w:t xml:space="preserve">mới được đưa vào (DAI là nguồn lực tình huống; FIP; ICRV; điều kiện ổn định thể chế),</w:t>
      </w:r>
      <w:r>
        <w:t xml:space="preserve"> </w:t>
      </w:r>
      <w:r>
        <w:rPr>
          <w:iCs/>
          <w:i/>
        </w:rPr>
        <w:t xml:space="preserve">như thế nào</w:t>
      </w:r>
      <w:r>
        <w:t xml:space="preserve"> </w:t>
      </w:r>
      <w:r>
        <w:t xml:space="preserve">các cấu trúc này vận hành (qua nâng mặt bằng vs uốn đường cong; qua dịch chuyển vs hòa tan điểm uốn), và</w:t>
      </w:r>
      <w:r>
        <w:t xml:space="preserve"> </w:t>
      </w:r>
      <w:r>
        <w:rPr>
          <w:iCs/>
          <w:i/>
        </w:rPr>
        <w:t xml:space="preserve">vì sao bây giờ</w:t>
      </w:r>
      <w:r>
        <w:t xml:space="preserve"> </w:t>
      </w:r>
      <w:r>
        <w:t xml:space="preserve">(kỷ nguyên số và sự sẵn có lần đầu của dữ liệu doanh nghiệp hài hòa cho 50 nền châu Á – Thái Bình Dương, gồm Nhật Bản 2025).</w:t>
      </w:r>
    </w:p>
    <w:bookmarkEnd w:id="280"/>
    <w:bookmarkStart w:id="281"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tài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281"/>
    <w:bookmarkStart w:id="282"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tài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+0,28 đến +0,43; toàn mẫu 50 nền +0,141; Nhật Bản +0,100; SIDS +0,064), trong khi các tương tác uốn đường cong với cường độ xuất khẩu không đạt ý nghĩa thống kê trên toàn mẫu và chỉ định hình ở một bối cảnh đơn quốc gia. Ngay cả tại SIDS, nơi dạng chữ U ngược mất cấu trúc, năng lực công nghệ vẫn nâng mặt bằng năng suất nhưng không thể uốn độ dốc sang vùng có lợi,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Tài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282"/>
    <w:bookmarkStart w:id="283"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tài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 Cần nhấn mạnh rằng đóng góp này chủ yếu mang tính</w:t>
      </w:r>
      <w:r>
        <w:t xml:space="preserve"> </w:t>
      </w:r>
      <w:r>
        <w:rPr>
          <w:bCs/>
          <w:b/>
        </w:rPr>
        <w:t xml:space="preserve">khái niệm</w:t>
      </w:r>
      <w:r>
        <w:t xml:space="preserve">: FIP định danh một điều kiện biên lý thuyết của họ mô hình chữ U ngược. Bằng chứng thực nghiệm đi kèm (P8) mang tính</w:t>
      </w:r>
      <w:r>
        <w:t xml:space="preserve"> </w:t>
      </w:r>
      <w:r>
        <w:rPr>
          <w:bCs/>
          <w:b/>
        </w:rPr>
        <w:t xml:space="preserve">thăm dò</w:t>
      </w:r>
      <w:r>
        <w:t xml:space="preserve"> </w:t>
      </w:r>
      <w:r>
        <w:t xml:space="preserve">và nhạy cảm với phiên bản dữ liệu cũng như số nền đảo nhỏ có dữ liệu doanh nghiệp đầy đủ (Mục 4.7.8); việc kiểm định FIP một cách dứt khoát đòi hỏi mẫu doanh nghiệp đầy đủ hơn ở nhiều nền SIDS với số cụm đủ lớn cho suy luận hợp lệ — một hướng nghiên cứu tương lai trực tiếp. Giá trị của FIP vì vậy nằm ở chỗ nó</w:t>
      </w:r>
      <w:r>
        <w:t xml:space="preserve"> </w:t>
      </w:r>
      <w:r>
        <w:rPr>
          <w:bCs/>
          <w:b/>
        </w:rPr>
        <w:t xml:space="preserve">xác định ranh giới ứng dụng</w:t>
      </w:r>
      <w:r>
        <w:t xml:space="preserve"> </w:t>
      </w:r>
      <w:r>
        <w:t xml:space="preserve">của các lý thuyết quốc tế hóa phổ quát, độc lập với độ lớn chính xác của hệ số ước lượng được.</w:t>
      </w:r>
    </w:p>
    <w:p>
      <w:pPr>
        <w:pStyle w:val="BodyText"/>
      </w:pPr>
      <w:r>
        <w:t xml:space="preserve">Giá trị khái niệm của FIP được làm rõ qua việc phân biệt nó với bốn cấu trúc lân cận trong tài liệu, một phân biệt cần thiết để khẳng định FIP không phải là cách gọi mới của một ý tưởng cũ.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tài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tài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283"/>
    <w:bookmarkStart w:id="284"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tài liệu hiện tại.</w:t>
      </w:r>
      <w:r>
        <w:t xml:space="preserve"> </w:t>
      </w:r>
      <w:r>
        <w:rPr>
          <w:bCs/>
          <w:b/>
        </w:rPr>
        <w:t xml:space="preserve">Lưu ý về phạm vi áp dụng:</w:t>
      </w:r>
      <w:r>
        <w:t xml:space="preserve"> </w:t>
      </w:r>
      <w:r>
        <w:t xml:space="preserve">khung sáu chế độ đầy đủ (Nhóm I tới VI, trong đó Nhóm VI là SIDS) được vận hành ở phân tích cấp doanh nghiệp (P7), nơi tồn tại các doanh nghiệp đảo nhỏ trong dữ liệu WBES; còn phân tích tổng hợp ba tầng (P6) sử dụng năm chế độ vì chế độ SIDS không có nghiên cứu sơ cấp công bố cung cấp cỡ ảnh hưởng quốc tế hóa–hiệu quả (</w:t>
      </w:r>
      <m:oMath>
        <m:r>
          <m:t>k</m:t>
        </m:r>
        <m:r>
          <m:rPr>
            <m:sty m:val="p"/>
          </m:rPr>
          <m:t>=</m:t>
        </m:r>
        <m:r>
          <m:t>0</m:t>
        </m:r>
      </m:oMath>
      <w:r>
        <w:t xml:space="preserve">), nên không thể đưa vào kiểm định giữa các chế độ ở cấp phân tích tổng hợp.</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vị trí và sự tồn tại của điểm uốn trong quan hệ quốc tế hóa và hiệu quả thay đổi có hệ thống theo ba vùng của phổ thể chế: chữ U ngược định hình rõ nhất ở vùng giữa (Nhóm IV, điểm uốn 43,0%), duỗi thẳng gần tuyến tính ở biên trên nơi thể chế mạnh đẩy điểm uốn ra mức cường độ xuất khẩu rất cao (Singapore khoảng 88,6%), và mất cấu trúc ở biên dưới; nghĩa là thể chế càng mạnh, doanh nghiệp càng duy trì lợi ích từ quốc tế hóa đến mức cường độ cao hơn trước khi đạt đỉnh, xác nhận giá trị dự đoán của phân loại.</w:t>
      </w:r>
    </w:p>
    <w:p>
      <w:r>
        <w:pict>
          <v:rect style="width:0;height:1.5pt" o:hralign="center" o:hrstd="t" o:hr="t"/>
        </w:pict>
      </w:r>
    </w:p>
    <w:bookmarkEnd w:id="284"/>
    <w:bookmarkStart w:id="285"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Bậc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tài liệu về vai trò của thể chế công trong chuyển đổi số doanh nghiệp.</w:t>
      </w:r>
    </w:p>
    <w:bookmarkEnd w:id="285"/>
    <w:bookmarkStart w:id="286"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mất cấu trúc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một dải liên tục từ chữ U ngược đến mất cấu trúc và đảo dấu mới hiện ra trọn vẹn. Đây là một đóng góp về mặt kiến trúc lý thuyết: thay vì lựa chọn một lý thuyết thắng cuộc, luận án định vị rõ phạm vi áp dụng và điều kiện biên của từng lý thuyết, và chỉ ra thể chế là biến liên kết chúng thành một hệ giải thích nhất quán.</w:t>
      </w:r>
    </w:p>
    <w:bookmarkEnd w:id="286"/>
    <w:bookmarkStart w:id="287" w:name="Xaf4611420c0d9e18880fab8918c5deec248ab26"/>
    <w:p>
      <w:pPr>
        <w:pStyle w:val="Heading3"/>
      </w:pPr>
      <w:r>
        <w:t xml:space="preserve">5.3.6 Hệ quả phương pháp luận cho nghiên cứu phi tuyến đa bối cảnh (đóng góp phụ trợ)</w:t>
      </w:r>
    </w:p>
    <w:p>
      <w:pPr>
        <w:pStyle w:val="FirstParagraph"/>
      </w:pPr>
      <w:r>
        <w:t xml:space="preserve">Đóng góp lý thuyết thứ sáu mang tính phương pháp luận và có hệ quả vượt ra ngoài chủ đề quốc tế hóa và hiệu quả. Luận án minh họa cụ thể một vấn đề mà tài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287"/>
    <w:bookmarkStart w:id="288"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tài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288"/>
    <w:bookmarkStart w:id="289" w:name="X424c76d92b37ed9a157ad7d30d86350b2c8bf81"/>
    <w:p>
      <w:pPr>
        <w:pStyle w:val="Heading3"/>
      </w:pPr>
      <w:r>
        <w:t xml:space="preserve">5.3.8 Điều kiện phạm vi và cơ sở nhận dạng nhân quả của khung CDCM</w:t>
      </w:r>
    </w:p>
    <w:p>
      <w:pPr>
        <w:pStyle w:val="FirstParagraph"/>
      </w:pPr>
      <w:r>
        <w:t xml:space="preserve">Một đóng góp lý thuyết đạt chuẩn quốc tế phải nêu rõ không chỉ</w:t>
      </w:r>
      <w:r>
        <w:t xml:space="preserve"> </w:t>
      </w:r>
      <w:r>
        <w:rPr>
          <w:iCs/>
          <w:i/>
        </w:rPr>
        <w:t xml:space="preserve">nó khẳng định điều gì</w:t>
      </w:r>
      <w:r>
        <w:t xml:space="preserve"> </w:t>
      </w:r>
      <w:r>
        <w:t xml:space="preserve">mà cả</w:t>
      </w:r>
      <w:r>
        <w:t xml:space="preserve"> </w:t>
      </w:r>
      <w:r>
        <w:rPr>
          <w:iCs/>
          <w:i/>
        </w:rPr>
        <w:t xml:space="preserve">trong những điều kiện nào điều đó đúng</w:t>
      </w:r>
      <w:r>
        <w:t xml:space="preserve"> </w:t>
      </w:r>
      <w:r>
        <w:t xml:space="preserve">và</w:t>
      </w:r>
      <w:r>
        <w:t xml:space="preserve"> </w:t>
      </w:r>
      <w:r>
        <w:rPr>
          <w:iCs/>
          <w:i/>
        </w:rPr>
        <w:t xml:space="preserve">cơ sở suy luận nào nâng đỡ khẳng định</w:t>
      </w:r>
      <w:r>
        <w:t xml:space="preserve"> </w:t>
      </w:r>
      <w:r>
        <w:t xml:space="preserve">(Santangelo &amp; Verbeke, 2022). Mục này phát biểu tường minh hai điều đó cho khung CDCM, tách bạch khỏi các hạn chế nghiên cứu (Mục 5.5) vốn nói về điểm yếu của thiết kế chứ không phải ranh giới của lý thuyết.</w:t>
      </w:r>
    </w:p>
    <w:p>
      <w:pPr>
        <w:pStyle w:val="BodyText"/>
      </w:pPr>
      <w:r>
        <w:rPr>
          <w:bCs/>
          <w:b/>
        </w:rPr>
        <w:t xml:space="preserve">Điều kiện phạm vi (boundary conditions).</w:t>
      </w:r>
      <w:r>
        <w:t xml:space="preserve"> </w:t>
      </w:r>
      <w:r>
        <w:t xml:space="preserve">Khung CDCM được phát biểu trong một miền ứng dụng xác định, và chính sự xác định này làm cho nó có thể bị bác bỏ. Thứ nhất,</w:t>
      </w:r>
      <w:r>
        <w:t xml:space="preserve"> </w:t>
      </w:r>
      <w:r>
        <w:rPr>
          <w:iCs/>
          <w:i/>
        </w:rPr>
        <w:t xml:space="preserve">đơn vị và thước đo</w:t>
      </w:r>
      <w:r>
        <w:t xml:space="preserve">: khung áp dụng cho quan hệ ở</w:t>
      </w:r>
      <w:r>
        <w:t xml:space="preserve"> </w:t>
      </w:r>
      <w:r>
        <w:rPr>
          <w:bCs/>
          <w:b/>
        </w:rPr>
        <w:t xml:space="preserve">cấp doanh nghiệp</w:t>
      </w:r>
      <w:r>
        <w:t xml:space="preserve"> </w:t>
      </w:r>
      <w:r>
        <w:t xml:space="preserve">với mức độ quốc tế hóa được đo bằng</w:t>
      </w:r>
      <w:r>
        <w:t xml:space="preserve"> </w:t>
      </w:r>
      <w:r>
        <w:rPr>
          <w:bCs/>
          <w:b/>
        </w:rPr>
        <w:t xml:space="preserve">cường độ xuất khẩu (chiều doanh số của DOI)</w:t>
      </w:r>
      <w:r>
        <w:t xml:space="preserve">; các chiều khác của quốc tế hóa (phạm vi địa lý, chiều sâu cam kết qua đầu tư trực tiếp ra nước ngoài) nằm ngoài phạm vi đã kiểm định và là điều kiện biên cần nhân rộng (Mục 5.5.3.3). Thứ hai,</w:t>
      </w:r>
      <w:r>
        <w:t xml:space="preserve"> </w:t>
      </w:r>
      <w:r>
        <w:rPr>
          <w:iCs/>
          <w:i/>
        </w:rPr>
        <w:t xml:space="preserve">miền thể chế</w:t>
      </w:r>
      <w:r>
        <w:t xml:space="preserve">: khung được hiệu chỉnh và kiểm định trên</w:t>
      </w:r>
      <w:r>
        <w:t xml:space="preserve"> </w:t>
      </w:r>
      <w:r>
        <w:rPr>
          <w:bCs/>
          <w:b/>
        </w:rPr>
        <w:t xml:space="preserve">phổ thể chế châu Á và Thái Bình Dương</w:t>
      </w:r>
      <w:r>
        <w:t xml:space="preserve"> </w:t>
      </w:r>
      <w:r>
        <w:t xml:space="preserve">giai đoạn 2006–2026; việc mở rộng sang các khu vực có cấu hình thể chế khác (Mỹ Latinh, châu Phi hạ Sahara) là một kiểm định phạm vi mở. Thứ ba,</w:t>
      </w:r>
      <w:r>
        <w:t xml:space="preserve"> </w:t>
      </w:r>
      <w:r>
        <w:rPr>
          <w:iCs/>
          <w:i/>
        </w:rPr>
        <w:t xml:space="preserve">giả định cấu trúc tối thiểu</w:t>
      </w:r>
      <w:r>
        <w:t xml:space="preserve">: khung ngầm giả định ba điều kiện cấu trúc — thị trường nội địa đủ lớn, chi phí thương mại không quá cao, và tồn tại hỗ trợ thể chế tối thiểu — được thỏa mãn; chính việc</w:t>
      </w:r>
      <w:r>
        <w:t xml:space="preserve"> </w:t>
      </w:r>
      <w:r>
        <w:rPr>
          <w:bCs/>
          <w:b/>
        </w:rPr>
        <w:t xml:space="preserve">định danh trường hợp các giả định này đồng thời bị vi phạm</w:t>
      </w:r>
      <w:r>
        <w:t xml:space="preserve"> </w:t>
      </w:r>
      <w:r>
        <w:t xml:space="preserve">(chế độ SIDS, qua khái niệm FIP) là cách luận án biến điều kiện biên ngầm của cả họ lý thuyết chữ U ngược thành một mệnh đề tường minh. Khung do đó tự nêu ranh giới ứng dụng của chính nó: tại biên dưới cực trị của phổ thể chế, dạng hàm chữ U ngược không còn là mô tả đúng.</w:t>
      </w:r>
    </w:p>
    <w:p>
      <w:pPr>
        <w:pStyle w:val="BodyText"/>
      </w:pPr>
      <w:r>
        <w:rPr>
          <w:bCs/>
          <w:b/>
        </w:rPr>
        <w:t xml:space="preserve">Cơ sở nhận dạng nhân quả.</w:t>
      </w:r>
      <w:r>
        <w:t xml:space="preserve"> </w:t>
      </w:r>
      <w:r>
        <w:t xml:space="preserve">Luận án giữ thái độ suy luận thận trọng và nhất quán: thiết kế dữ liệu là</w:t>
      </w:r>
      <w:r>
        <w:t xml:space="preserve"> </w:t>
      </w:r>
      <w:r>
        <w:rPr>
          <w:bCs/>
          <w:b/>
        </w:rPr>
        <w:t xml:space="preserve">chuỗi cắt ngang lặp lại</w:t>
      </w:r>
      <w:r>
        <w:t xml:space="preserve"> </w:t>
      </w:r>
      <w:r>
        <w:t xml:space="preserve">(không phải dữ liệu bảng theo dõi cùng doanh nghiệp), nên các phát biểu được hiểu là</w:t>
      </w:r>
      <w:r>
        <w:t xml:space="preserve"> </w:t>
      </w:r>
      <w:r>
        <w:rPr>
          <w:bCs/>
          <w:b/>
        </w:rPr>
        <w:t xml:space="preserve">quan hệ cấu trúc có điều kiện</w:t>
      </w:r>
      <w:r>
        <w:t xml:space="preserve"> </w:t>
      </w:r>
      <w:r>
        <w:t xml:space="preserve">chứ không phải hiệu ứng nhân quả điểm được nhận dạng chặt. Tuy vậy, độ tin cậy của luận điểm trung tâm không dựa trên một ước lượng đơn lẻ mà trên</w:t>
      </w:r>
      <w:r>
        <w:t xml:space="preserve"> </w:t>
      </w:r>
      <w:r>
        <w:rPr>
          <w:bCs/>
          <w:b/>
        </w:rPr>
        <w:t xml:space="preserve">tam giác hóa nhiều nguồn nhận dạng có thiên lệch không trùng nhau</w:t>
      </w:r>
      <w:r>
        <w:t xml:space="preserve">: (i) biến công cụ cho chấp nhận số với kiểm định độ mạnh công cụ (Mục 3.5.6.1), cho hệ số DAI được công cụ hóa gần</w:t>
      </w:r>
      <w:r>
        <w:t xml:space="preserve"> </w:t>
      </w:r>
      <w:r>
        <w:t xml:space="preserve">“</w:t>
      </w:r>
      <w:r>
        <w:t xml:space="preserve">không</w:t>
      </w:r>
      <w:r>
        <w:t xml:space="preserve">”</w:t>
      </w:r>
      <w:r>
        <w:t xml:space="preserve"> </w:t>
      </w:r>
      <w:r>
        <w:t xml:space="preserve">— gợi ý phần lớn tương quan DAI–hiệu quả mang tính chọn lọc chứ không nhân quả, một kết luận</w:t>
      </w:r>
      <w:r>
        <w:t xml:space="preserve"> </w:t>
      </w:r>
      <w:r>
        <w:rPr>
          <w:iCs/>
          <w:i/>
        </w:rPr>
        <w:t xml:space="preserve">khiêm tốn hóa</w:t>
      </w:r>
      <w:r>
        <w:t xml:space="preserve"> </w:t>
      </w:r>
      <w:r>
        <w:t xml:space="preserve">chứ không thổi phồng; (ii) giới hạn Oster về thiên lệch do biến bỏ sót không quan sát (Mục 3.5.6.2); (iii) kiểm định ổn định hệ số Paternoster xuyên đợt khảo sát (P5:</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(iv)</w:t>
      </w:r>
      <w:r>
        <w:t xml:space="preserve"> </w:t>
      </w:r>
      <w:r>
        <w:rPr>
          <w:bCs/>
          <w:b/>
        </w:rPr>
        <w:t xml:space="preserve">tính nhất quán về dấu xuyên nhiều mô hình</w:t>
      </w:r>
      <w:r>
        <w:t xml:space="preserve"> </w:t>
      </w:r>
      <w:r>
        <w:t xml:space="preserve">như nguyên tắc suy luận nền tảng (Mục 3.5.6.3); và (v) sự hội tụ giữa phân tích tổng hợp (P6) và ước lượng gộp cấp doanh nghiệp (P7) — hai phương pháp chịu các nguồn thiên lệch khác nhau nhưng cùng định vị thể chế là biến điều tiết then chốt (Mục 5.2.5). Khi năm nguồn nhận dạng với điểm yếu bù trừ lẫn nhau cùng chỉ về một kết luận, luận điểm cấu trúc trở nên khó quy về tạo tác của một quy trình phân tích đơn lẻ, ngay cả khi từng nguồn riêng lẻ không đủ để nhận dạng nhân quả điểm. Đây chính là chuẩn suy luận mà tài liệu kinh doanh quốc tế đương đại kỳ vọng ở thiết kế quan sát đa bối cảnh.</w:t>
      </w:r>
    </w:p>
    <w:bookmarkEnd w:id="289"/>
    <w:bookmarkEnd w:id="290"/>
    <w:bookmarkStart w:id="297"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291"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Phổ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291"/>
    <w:bookmarkStart w:id="292"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7"/>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7"/>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7"/>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7"/>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292"/>
    <w:bookmarkStart w:id="293"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Nói tóm lại, tránh bẫy quốc tế hóa cưỡng bức bằng cách bảo đảm rằng các can thiệp chính sách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293"/>
    <w:bookmarkStart w:id="294"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Bậc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294"/>
    <w:bookmarkStart w:id="295" w:name="X06a1f524ffa641eeef7964d8ecbb8b71d6457df"/>
    <w:p>
      <w:pPr>
        <w:pStyle w:val="Heading3"/>
      </w:pPr>
      <w:r>
        <w:t xml:space="preserve">5.4.5 Khung can thiệp phân tầng theo chế độ thể chế ICRV cho ba nhóm đối tượng</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 Phần này trình bày khung can thiệp phân tầng đó cho ba nhóm đối tượng kế tiếp nhau, là nhà hoạch định chính sách quốc gia, nhà quản trị doanh nghiệp, và các tổ chức phát triển và tài trợ quốc tế, mỗi nhóm vận dụng cùng một logic ba vùng nhưng qua đòn bẩy hành động khác nhau.</w:t>
      </w:r>
    </w:p>
    <w:p>
      <w:pPr>
        <w:pStyle w:val="BodyText"/>
      </w:pPr>
      <w:r>
        <w:rPr>
          <w:bCs/>
          <w:b/>
        </w:rPr>
        <w:t xml:space="preserve">Đối với nhà hoạch định chính sách quốc gia.</w:t>
      </w:r>
      <w:r>
        <w:t xml:space="preserve"> </w:t>
      </w: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dạng chữ U ngược mất cấu trúc và quan hệ có xu hướng nghiêng âm,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p>
      <w:pPr>
        <w:pStyle w:val="BodyText"/>
      </w:pPr>
      <w:r>
        <w:rPr>
          <w:bCs/>
          <w:b/>
        </w:rPr>
        <w:t xml:space="preserve">Đối với nhà quản trị doanh nghiệp.</w:t>
      </w:r>
      <w:r>
        <w:t xml:space="preserve"> </w:t>
      </w:r>
      <w:r>
        <w:t xml:space="preserve">Khung ba vùng cũng dịch thành một quy tắc quyết định gọn cho nhà quản trị doanh nghiệp, thay vì một khuyến nghị chung chung về</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mất cấu trúc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p>
      <w:pPr>
        <w:pStyle w:val="BodyText"/>
      </w:pPr>
      <w:r>
        <w:rPr>
          <w:bCs/>
          <w:b/>
        </w:rPr>
        <w:t xml:space="preserve">Đối với các tổ chức phát triển và tài trợ quốc tế.</w:t>
      </w:r>
      <w:r>
        <w:t xml:space="preserve"> </w:t>
      </w: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tài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295"/>
    <w:bookmarkStart w:id="296" w:name="Xe0db8e28cf03dc8a65a6387c8f4ba9208afb8a3"/>
    <w:p>
      <w:pPr>
        <w:pStyle w:val="Heading3"/>
      </w:pPr>
      <w:r>
        <w:t xml:space="preserve">5.4.6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296"/>
    <w:bookmarkEnd w:id="297"/>
    <w:bookmarkStart w:id="307" w:name="hạn-chế-và-hướng-nghiên-cứu-tương-lai"/>
    <w:p>
      <w:pPr>
        <w:pStyle w:val="Heading2"/>
      </w:pPr>
      <w:r>
        <w:t xml:space="preserve">5.5 Hạn chế và hướng nghiên cứu tương lai</w:t>
      </w:r>
    </w:p>
    <w:p>
      <w:pPr>
        <w:pStyle w:val="FirstParagraph"/>
      </w:pPr>
      <w:r>
        <w:t xml:space="preserve">Các hạn chế dưới đây được trình bày không phải như một danh mục khuyết điểm rời rạc mà như đường biên suy luận của luận án: mỗi hạn chế được gắn với hệ quả cụ thể cho điều có thể và không thể kết luận, và được tách bạch với các điều kiện phạm vi lý thuyết đã nêu ở Mục 5.3.8. Đọc theo cách đó, phần này định khung chính xác miền mà bên trong đó các phát hiện được bằng chứng hỗ trợ, đồng thời chỉ ra các phép kiểm định còn thiếu mà hướng nghiên cứu tương lai ở Mục 5.5.4 được thiết kế để lấp.</w:t>
      </w:r>
    </w:p>
    <w:bookmarkStart w:id="298"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Bậc 1 DAI (website, email, online sales) được sử dụng do hạn chế của các làn sóng 2009 và 2015, trong khi Bậc 2 (e-payment, e-supplier) chỉ có từ 2023. Điều này tạo ra khả năng đo lường không đầy đủ, đặc biệt là không nắm bắt được chiều sâu năng lực số ở bối cảnh ICRV thấp.</w:t>
      </w:r>
    </w:p>
    <w:p>
      <w:pPr>
        <w:pStyle w:val="BodyText"/>
      </w:pPr>
      <w:r>
        <w:t xml:space="preserve">Một giới hạn thứ hai của đo lường DAI là tính tĩnh tại một thời điểm khảo sát; vì hệ quả của nó đối với việc diễn giải vai trò động của năng lực số được trình bày đầy đủ ở Mục 5.5.3.1, ở đây chỉ nêu để bảo đảm tính trọn vẹn của nhóm hạn chế đo lường DAI mà không nhắc lại.</w:t>
      </w:r>
    </w:p>
    <w:bookmarkEnd w:id="298"/>
    <w:bookmarkStart w:id="299"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299"/>
    <w:bookmarkStart w:id="300"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300"/>
    <w:bookmarkStart w:id="301"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Bậc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Bậc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Bậc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Bậc 1 chứ không phải sự vắng mặt của cơ chế. Hạn chế này có hệ quả trực tiếp: các kết luận về DAI ở những bối cảnh chỉ đo được Bậc 1 nên được hiểu là chưa kết luận hơn là bác bỏ, và việc kiểm định lại với thước đo Bậc 2 và Bậc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301"/>
    <w:bookmarkStart w:id="302"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50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p>
      <w:pPr>
        <w:pStyle w:val="BodyText"/>
      </w:pPr>
      <w:r>
        <w:t xml:space="preserve">Bên cạnh đường biên không gian còn một đường biên thời gian. Cấu trúc ba vùng được nhận diện trên dữ liệu trải dài 2006–2026, một cửa sổ mà phần lớn các chế độ thể chế giữ ổn định tương đối; nhưng chính bằng chứng Ấn Độ (Mục 5.1.6) cho thấy khi tốc độ và biên độ biến động thể chế đủ lớn, điểm uốn có thể dịch chuyển rồi tan biến, nghĩa là tính ổn định của phổ điểm uốn là một điều kiện chứ không phải một thuộc tính bất biến của khung. Ba lực đang định hình lại bối cảnh sau giai đoạn quan sát, gồm sự khuếch tán nhanh của trí tuệ nhân tạo làm thay đổi bản chất của lợi thế số, sự tái cấu trúc thương mại dưới áp lực khí hậu và dịch chuyển chuỗi cung ứng, và sự phân mảnh địa chính trị làm tăng chi phí phối hợp xuyên biên giới, đều tác động trực tiếp lên cả ba tầng điều tiết của khung CDCM; do đó vị trí điểm uốn và ngay cả ranh giới giữa ba vùng nên được đọc như một lát cắt đặc trưng cho giai đoạn 2006–2026 chứ chưa phải một hằng số cấu trúc. Kiểm định lại phổ điểm uốn trên các đợt WBES sau 2026, khi dữ liệu sẵn có, vì vậy là một phép thử trực tiếp cho tính bền thời gian của khung và là một mở rộng tự nhiên của điều kiện ổn định thể chế mà chính khung CDCM đặt ra.</w:t>
      </w:r>
    </w:p>
    <w:bookmarkEnd w:id="302"/>
    <w:bookmarkStart w:id="303"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tài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303"/>
    <w:bookmarkStart w:id="304"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2006–2026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phổ thể chế chứ không phải một thang đo chính xác tuyệt đối.</w:t>
      </w:r>
    </w:p>
    <w:bookmarkEnd w:id="304"/>
    <w:bookmarkStart w:id="305"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305"/>
    <w:bookmarkStart w:id="306" w:name="hướng-nghiên-cứu-tương-lai"/>
    <w:p>
      <w:pPr>
        <w:pStyle w:val="Heading3"/>
      </w:pPr>
      <w:r>
        <w:t xml:space="preserve">5.5.4 Hướng nghiên cứu tương lai</w:t>
      </w:r>
    </w:p>
    <w:p>
      <w:pPr>
        <w:pStyle w:val="FirstParagraph"/>
      </w:pPr>
      <w:r>
        <w:t xml:space="preserve">Dựa trên các hạn chế trên, luận án đề xuất mười hướng nghiên cứu ưu tiên, được tổ chức thành ba nhóm chủ đề tương ứng với ba nhóm hạn chế chính, để cho thấy các hướng này nảy sinh từ kiến trúc lý thuyết của luận án chứ không phải một danh mục rời rạc: nhóm A củng cố nhận dạng nhân quả và xử lý nội sinh; nhóm B làm giàu đo lường đa chiều và năng lực số động; và nhóm C mở rộng phạm vi khái quát hóa cùng lập bản đồ cơ chế. Mỗi hướng dưới đây được gắn nhãn nhóm tương ứng:</w:t>
      </w:r>
    </w:p>
    <w:p>
      <w:pPr>
        <w:pStyle w:val="BodyText"/>
      </w:pPr>
      <w:r>
        <w:rPr>
          <w:bCs/>
          <w:b/>
        </w:rPr>
        <w:t xml:space="preserve">Thứ nhất</w:t>
      </w:r>
      <w:r>
        <w:t xml:space="preserve"> </w:t>
      </w:r>
      <w:r>
        <w:t xml:space="preserve">(nhóm B), xây dựng đo lường DAI phong phú hơn (Bậc 2 và Bậc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w:t>
      </w:r>
      <w:r>
        <w:t xml:space="preserve">(nhóm A),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w:t>
      </w:r>
      <w:r>
        <w:t xml:space="preserve">(nhóm C),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w:t>
      </w:r>
      <w:r>
        <w:t xml:space="preserve">(nhóm C), kiểm định vai trò của đặc điểm nhà quản trị cấp cao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w:t>
      </w:r>
      <w:r>
        <w:t xml:space="preserve">(nhóm C),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phân hệ đặc thù (trường thọ doanh nghiệp, khoảng cách giới trong lãnh đạo) khi có thêm đợt khảo sát thứ hai.</w:t>
      </w:r>
    </w:p>
    <w:p>
      <w:pPr>
        <w:pStyle w:val="BodyText"/>
      </w:pPr>
      <w:r>
        <w:rPr>
          <w:bCs/>
          <w:b/>
        </w:rPr>
        <w:t xml:space="preserve">Thứ sáu</w:t>
      </w:r>
      <w:r>
        <w:t xml:space="preserve"> </w:t>
      </w:r>
      <w:r>
        <w:t xml:space="preserve">(nhóm A),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w:t>
      </w:r>
      <w:r>
        <w:t xml:space="preserve">(nhóm C), sự dịch chuyển trọng tâm giữa biên tham gia và biên cường độ dọc theo phổ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phổ thể chế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w:t>
      </w:r>
      <w:r>
        <w:t xml:space="preserve">(nhóm C),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phổ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w:t>
      </w:r>
      <w:r>
        <w:t xml:space="preserve">(nhóm B),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w:t>
      </w:r>
      <w:r>
        <w:t xml:space="preserve">(nhóm B),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306"/>
    <w:bookmarkEnd w:id="307"/>
    <w:bookmarkStart w:id="312" w:name="kết-luận"/>
    <w:p>
      <w:pPr>
        <w:pStyle w:val="Heading2"/>
      </w:pPr>
      <w:r>
        <w:t xml:space="preserve">5.6 Kết luận</w:t>
      </w:r>
    </w:p>
    <w:bookmarkStart w:id="308"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18"/>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18"/>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18"/>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18"/>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18"/>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8"/>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8"/>
        </w:numPr>
      </w:pPr>
      <w:r>
        <w:rPr>
          <w:bCs/>
          <w:b/>
        </w:rPr>
        <w:t xml:space="preserve">P7</w:t>
      </w:r>
      <w:r>
        <w:t xml:space="preserve">: kiểm định toàn mẫu châu Á và Thái Bình Dương trên khung 50 nền kinh tế,</w:t>
      </w:r>
      <w:r>
        <w:t xml:space="preserve"> </w:t>
      </w:r>
      <m:oMath>
        <m:r>
          <m:t>N</m:t>
        </m:r>
        <m:r>
          <m:rPr>
            <m:sty m:val="p"/>
          </m:rPr>
          <m:t>=</m:t>
        </m:r>
        <m:r>
          <m:t>81.022</m:t>
        </m:r>
      </m:oMath>
      <w:r>
        <w:t xml:space="preserve"> </w:t>
      </w:r>
      <w:r>
        <w:t xml:space="preserve">(bậc hai) và</w:t>
      </w:r>
      <w:r>
        <w:t xml:space="preserve"> </w:t>
      </w:r>
      <m:oMath>
        <m:r>
          <m:t>N</m:t>
        </m:r>
        <m:r>
          <m:rPr>
            <m:sty m:val="p"/>
          </m:rPr>
          <m:t>=</m:t>
        </m:r>
        <m:r>
          <m:t>79.080</m:t>
        </m:r>
      </m:oMath>
      <w:r>
        <w:t xml:space="preserve"> </w:t>
      </w:r>
      <w:r>
        <w:t xml:space="preserve">(mô hình đầy đủ), điểm uốn 43,6–51,5% (mô hình chính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mất cấu trúc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18"/>
        </w:numPr>
      </w:pPr>
      <w:r>
        <w:rPr>
          <w:bCs/>
          <w:b/>
        </w:rPr>
        <w:t xml:space="preserve">P8</w:t>
      </w:r>
      <w:r>
        <w:t xml:space="preserve">: phân tích bảy nền kinh tế đảo nhỏ đang phát triển Thái Bình Dương (loại Timor-Leste theo phân loại WB/UN;</w:t>
      </w:r>
      <w:r>
        <w:t xml:space="preserve"> </w:t>
      </w:r>
      <m:oMath>
        <m:r>
          <m:t>N</m:t>
        </m:r>
        <m:r>
          <m:rPr>
            <m:sty m:val="p"/>
          </m:rPr>
          <m:t>=</m:t>
        </m:r>
        <m:r>
          <m:t>1.450</m:t>
        </m:r>
      </m:oMath>
      <w:r>
        <w:t xml:space="preserve">, bảy cụm), phát hiện vững là</w:t>
      </w:r>
      <w:r>
        <w:t xml:space="preserve"> </w:t>
      </w:r>
      <w:r>
        <w:rPr>
          <w:bCs/>
          <w:b/>
        </w:rPr>
        <w:t xml:space="preserve">việc dạng chữ U ngược mất cấu trúc</w:t>
      </w:r>
      <w:r>
        <w:t xml:space="preserve"> </w:t>
      </w:r>
      <w:r>
        <w:t xml:space="preserve">—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 tương phản với chữ U ngược của lục địa; FIP được nêu như trường hợp giới hạn lý thuyết, với hệ số âm mạnh (</w:t>
      </w:r>
      <m:oMath>
        <m:r>
          <m:rPr>
            <m:sty m:val="p"/>
          </m:rPr>
          <m:t>−</m:t>
        </m:r>
        <m:r>
          <m:t>1</m:t>
        </m:r>
        <m:r>
          <m:rPr>
            <m:sty m:val="p"/>
          </m:rPr>
          <m:t>,</m:t>
        </m:r>
        <m:r>
          <m:t>339</m:t>
        </m:r>
      </m:oMath>
      <w:r>
        <w:t xml:space="preserve">) chỉ xuất hiện trên một bản dựng dữ liệu hạn chế ba cụm và mang tính minh họa, nhạy cảm với phiên bản dữ liệu (xem Mục 4.7.8).</w:t>
      </w:r>
    </w:p>
    <w:p>
      <w:pPr>
        <w:numPr>
          <w:ilvl w:val="0"/>
          <w:numId w:val="1018"/>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Bậc 2 (UPI) âm, bằng chứng đầu tiên rằng chuyển đổi thể chế cực mạnh có thể hòa tan chứ không chỉ dịch chuyển ngưỡng.</w:t>
      </w:r>
    </w:p>
    <w:p>
      <w:pPr>
        <w:numPr>
          <w:ilvl w:val="0"/>
          <w:numId w:val="1018"/>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18"/>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308"/>
    <w:bookmarkStart w:id="309"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Thể chế quy định không chỉ độ lớn mà cả dấu và dạng hình của quan hệ quốc tế hóa và hiệu quả: không tồn tại một mức độ quốc tế hóa tối ưu duy nhất, điểm uốn dịch chuyển theo vị trí thể chế, và tại cực trị thể chế, toàn bộ dạng chữ U ngược ngừng áp dụng, quan hệ nghiêng về bất lợi đơn điệu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rõ nhất ở vùng giữa phổ thể chế (Nhóm IV, điểm uốn khoảng 43%), duỗi thẳng gần tuyến tính ở biên trên nơi thể chế mạnh đẩy điểm uốn ra mức cường độ xuất khẩu rất cao (Singapore khoảng 88,6%, gần hoặc vượt biên dữ liệu quan sát), và mất cấu trúc ở biên dưới nơi thể chế yếu nhất; nghĩa là thể chế càng mạnh, doanh nghiệp càng duy trì lợi ích từ quốc tế hóa đến mức cường độ cao hơn trước khi đạt đỉnh.</w:t>
      </w:r>
    </w:p>
    <w:bookmarkEnd w:id="309"/>
    <w:bookmarkStart w:id="310"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tài liệu về quốc tế hóa và hiệu quả bằng cách phân tách cấu trúc dị biệt và xác định ICRV như biến điều tiết có ý nghĩa; (ii) tài liệu về năng lực số bằng cách làm rõ DAI là nguồn lực tình huống chứ không phải năng lực nền tảng; và (iii) tài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310"/>
    <w:bookmarkStart w:id="311" w:name="lời-kết"/>
    <w:p>
      <w:pPr>
        <w:pStyle w:val="Heading3"/>
      </w:pPr>
      <w:r>
        <w:t xml:space="preserve">5.6.4 Lời kết</w:t>
      </w:r>
    </w:p>
    <w:p>
      <w:pPr>
        <w:pStyle w:val="FirstParagraph"/>
      </w:pPr>
      <w:r>
        <w:t xml:space="preserve">Luận án này bắt đầu từ câu hỏi đơn giản: quốc tế hóa có cải thiện hiệu quả hoạt động kinh doanh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Hiểu biết này, rằng quan hệ quốc tế hóa và hiệu quả là quan hệ có điều kiện theo thể chế chứ không phải quan hệ phổ quát, là đóng góp cốt lõi mà luận án mang lại cho khoa học quản trị kinh doanh quốc tế.</w:t>
      </w:r>
    </w:p>
    <w:p>
      <w:r>
        <w:pict>
          <v:rect style="width:0;height:1.5pt" o:hralign="center" o:hrstd="t" o:hr="t"/>
        </w:pict>
      </w:r>
    </w:p>
    <w:p>
      <w:r>
        <w:br w:type="page"/>
      </w:r>
    </w:p>
    <w:bookmarkEnd w:id="311"/>
    <w:bookmarkEnd w:id="312"/>
    <w:bookmarkStart w:id="313" w:name="tài-liệu-tham-khảo"/>
    <w:p>
      <w:pPr>
        <w:pStyle w:val="Heading1"/>
      </w:pPr>
      <w:r>
        <w:t xml:space="preserve">TÀI LIỆU THAM KHẢO</w:t>
      </w:r>
    </w:p>
    <w:p>
      <w:pPr>
        <w:pStyle w:val="BlockText"/>
      </w:pPr>
      <w:r>
        <w:t xml:space="preserve">Trình bày theo chuẩn APA 7th, một danh sách thống nhất xếp theo thứ tự bảng chữ cái tên tác giả (hoặc tên tổ chức). Tài liệu cùng tác giả–cùng năm phân biệt bằng hậu tố a, b, c.</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t xml:space="preserve">ADB. (2025).</w:t>
      </w:r>
      <w:r>
        <w:t xml:space="preserve"> </w:t>
      </w:r>
      <w:r>
        <w:rPr>
          <w:iCs/>
          <w:i/>
        </w:rPr>
        <w:t xml:space="preserve">Annual Report 2025 — Online Appendix 1: Resolutions of the Board of Governors Adopted in 2025</w:t>
      </w:r>
      <w:r>
        <w:t xml:space="preserve">. Asian Development Bank. https://www.adb.org/documents/adb-annual-report-2025</w:t>
      </w:r>
    </w:p>
    <w:p>
      <w:pPr>
        <w:pStyle w:val="BodyText"/>
      </w:pPr>
      <w:r>
        <w:t xml:space="preserve">ADB. (2026).</w:t>
      </w:r>
      <w:r>
        <w:t xml:space="preserve"> </w:t>
      </w:r>
      <w:r>
        <w:rPr>
          <w:iCs/>
          <w:i/>
        </w:rPr>
        <w:t xml:space="preserve">Asia-Pacific Development Report 2026: Highlights — Global Value Chain Participation in Developing Asia</w:t>
      </w:r>
      <w:r>
        <w:t xml:space="preserve">. Asian Development Bank.</w:t>
      </w:r>
    </w:p>
    <w:p>
      <w:pPr>
        <w:pStyle w:val="BodyText"/>
      </w:pPr>
      <w:r>
        <w:t xml:space="preserve">ADB. (2026, April).</w:t>
      </w:r>
      <w:r>
        <w:t xml:space="preserve"> </w:t>
      </w:r>
      <w:r>
        <w:rPr>
          <w:iCs/>
          <w:i/>
        </w:rPr>
        <w:t xml:space="preserve">Asian Development Outlook April 2026: Special Topic — Artificial Intelligence in Asia and the Pacific</w:t>
      </w:r>
      <w:r>
        <w:t xml:space="preserve">. Asian Development Bank.</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 April).</w:t>
      </w:r>
      <w:r>
        <w:t xml:space="preserve"> </w:t>
      </w:r>
      <w:r>
        <w:rPr>
          <w:iCs/>
          <w:i/>
        </w:rPr>
        <w:t xml:space="preserve">Vietnam Economic Outlook 2026: Navigating the Crosscurrents</w:t>
      </w:r>
      <w:r>
        <w:t xml:space="preserve">. Asian Development Bank. https://www.adb.org/viet-nam</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p>
    <w:p>
      <w:pPr>
        <w:pStyle w:val="BodyText"/>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p>
    <w:p>
      <w:pPr>
        <w:pStyle w:val="BodyText"/>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Al-Najjar, B., Salama, A., &amp; Abed, A. (2025). Gender and cultural diversity on boards: Their impact on internationalisation.</w:t>
      </w:r>
      <w:r>
        <w:t xml:space="preserve"> </w:t>
      </w:r>
      <w:r>
        <w:rPr>
          <w:iCs/>
          <w:i/>
        </w:rPr>
        <w:t xml:space="preserve">The International Journal of Human Resource Management, 36</w:t>
      </w:r>
      <w:r>
        <w:t xml:space="preserve">(13), 2305–2341. https://doi.org/10.1080/09585192.2025.2550765</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 https://doi.org/10.1016/j.jfineco.2023.103745</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Bello, D. C., &amp; Kostova, T. (2012). From the editors: Conducting high impact international business research: The role of theory.</w:t>
      </w:r>
      <w:r>
        <w:t xml:space="preserve"> </w:t>
      </w:r>
      <w:r>
        <w:rPr>
          <w:iCs/>
          <w:i/>
        </w:rPr>
        <w:t xml:space="preserve">Journal of International Business Studies, 43</w:t>
      </w:r>
      <w:r>
        <w:t xml:space="preserve">(6), 537–543. https://doi.org/10.1057/jibs.2012.14</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Cazzaniga, M., Jaumotte, F., Li, L., Melina, G., Panton, A. J., Pizzinelli, C., Rockall, E., &amp; Tavares, M. M. (2024). Gen-AI: Artificial intelligence and the future of work.</w:t>
      </w:r>
      <w:r>
        <w:t xml:space="preserve"> </w:t>
      </w:r>
      <w:r>
        <w:rPr>
          <w:iCs/>
          <w:i/>
        </w:rPr>
        <w:t xml:space="preserve">IMF Staff Discussion Note</w:t>
      </w:r>
      <w:r>
        <w:t xml:space="preserve">, SDN/2024/001. International Monetary Fund.</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p>
    <w:p>
      <w:pPr>
        <w:pStyle w:val="BodyText"/>
      </w:pPr>
      <w:r>
        <w:t xml:space="preserve">CIEM. (2023).</w:t>
      </w:r>
      <w:r>
        <w:t xml:space="preserve"> </w:t>
      </w:r>
      <w:r>
        <w:rPr>
          <w:iCs/>
          <w:i/>
        </w:rPr>
        <w:t xml:space="preserve">Báo cáo Năng lực cạnh tranh và hiệu quả hoạt động kinh doanh của doanh nghiệp Việt Nam 2023</w:t>
      </w:r>
      <w:r>
        <w:t xml:space="preserve"> </w:t>
      </w:r>
      <w:r>
        <w:t xml:space="preserve">[Central Institute for Economic Management]. Nhà xuất bản Khoa học và Kỹ thuật.</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Corley, K. G., &amp; Gioia, D. A. (2011). Building theory about theory building: What constitutes a theoretical contribution?</w:t>
      </w:r>
      <w:r>
        <w:t xml:space="preserve"> </w:t>
      </w:r>
      <w:r>
        <w:rPr>
          <w:iCs/>
          <w:i/>
        </w:rPr>
        <w:t xml:space="preserve">Academy of Management Review, 36</w:t>
      </w:r>
      <w:r>
        <w:t xml:space="preserve">(1), 12–32. https://doi.org/10.5465/amr.2009.0486</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Drori, N., Alessandri, T., Bart, Y., &amp; Herstein, R. (2024). The impact of digitalization on internationalization from an internalization theory lens.</w:t>
      </w:r>
      <w:r>
        <w:t xml:space="preserve"> </w:t>
      </w:r>
      <w:r>
        <w:rPr>
          <w:iCs/>
          <w:i/>
        </w:rPr>
        <w:t xml:space="preserve">Long Range Planning, 57</w:t>
      </w:r>
      <w:r>
        <w:t xml:space="preserve">(1), 102395. https://doi.org/10.1016/j.lrp.2023.102395</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Fariborzi, H., Verbeke, A., &amp; Steel, P. (2025). Early internationalization: A meta-analysis of antecedents, dimensions, and performance.</w:t>
      </w:r>
      <w:r>
        <w:t xml:space="preserve"> </w:t>
      </w:r>
      <w:r>
        <w:rPr>
          <w:iCs/>
          <w:i/>
        </w:rPr>
        <w:t xml:space="preserve">Journal of Management Studies</w:t>
      </w:r>
      <w:r>
        <w:t xml:space="preserve">. https://doi.org/10.1111/joms.70008</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Gallegos Mardones, J., &amp; Ibáñez, M. J. (2025). Women’s participation in top management business positions and the internationalization process: Evidence for Chilean companies.</w:t>
      </w:r>
      <w:r>
        <w:t xml:space="preserve"> </w:t>
      </w:r>
      <w:r>
        <w:rPr>
          <w:iCs/>
          <w:i/>
        </w:rPr>
        <w:t xml:space="preserve">SAGE Open, 15</w:t>
      </w:r>
      <w:r>
        <w:t xml:space="preserve">(2), 1–17. https://doi.org/10.1177/21582440251335079</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Grego, M., Buckley, P. J., Munjal, S., Voss, H., &amp; Wang, E. Y. (2025). Managers and internationalization decisions: An affect-enacted model.</w:t>
      </w:r>
      <w:r>
        <w:t xml:space="preserve"> </w:t>
      </w:r>
      <w:r>
        <w:rPr>
          <w:iCs/>
          <w:i/>
        </w:rPr>
        <w:t xml:space="preserve">Global Strategy Journal, 15</w:t>
      </w:r>
      <w:r>
        <w:t xml:space="preserve">(3), 317–345. https://doi.org/10.1002/gsj.1516</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Hemmert, M., &amp; Jackson, K. (2016). Is there an East Asian model of MNC internationalization? A comparative analysis of Japanese and Korean firms.</w:t>
      </w:r>
      <w:r>
        <w:t xml:space="preserve"> </w:t>
      </w:r>
      <w:r>
        <w:rPr>
          <w:iCs/>
          <w:i/>
        </w:rPr>
        <w:t xml:space="preserve">Asia Pacific Business Review, 22</w:t>
      </w:r>
      <w:r>
        <w:t xml:space="preserve">(4), 567–594. https://doi.org/10.1080/13602381.2016.1168617</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Hitt, M. A., Tihanyi, L., Miller, T., &amp; Connelly, B. (2006). International diversification: Antecedents, outcomes, and moderators.</w:t>
      </w:r>
      <w:r>
        <w:t xml:space="preserve"> </w:t>
      </w:r>
      <w:r>
        <w:rPr>
          <w:iCs/>
          <w:i/>
        </w:rPr>
        <w:t xml:space="preserve">Journal of Management, 32</w:t>
      </w:r>
      <w:r>
        <w:t xml:space="preserve">(6), 831–867. https://doi.org/10.1177/0149206306293575</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Hunter, J. E., &amp; Schmidt, F. L. (2004).</w:t>
      </w:r>
      <w:r>
        <w:t xml:space="preserve"> </w:t>
      </w:r>
      <w:r>
        <w:rPr>
          <w:iCs/>
          <w:i/>
        </w:rPr>
        <w:t xml:space="preserve">Methods of meta-analysis: Correcting error and bias in research findings</w:t>
      </w:r>
      <w:r>
        <w:t xml:space="preserve"> </w:t>
      </w:r>
      <w:r>
        <w:t xml:space="preserve">(2nd ed.). Sage.</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International Finance Corporation. (n.d.).</w:t>
      </w:r>
      <w:r>
        <w:t xml:space="preserve"> </w:t>
      </w:r>
      <w:r>
        <w:rPr>
          <w:iCs/>
          <w:i/>
        </w:rPr>
        <w:t xml:space="preserve">Private Sector Development Blueprint: Decoding the World Bank Enterprise Surveys</w:t>
      </w:r>
      <w:r>
        <w:t xml:space="preserve">. World Bank Group.</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p>
      <w:pPr>
        <w:pStyle w:val="BodyText"/>
      </w:pPr>
      <w:r>
        <w:t xml:space="preserve">Kalubandi, S. C., Sharma, D., Edacherian, S., &amp; Karna, A. (2025). Role of foreign market knowledge and home country institutions in international entrepreneurship-performance relationship: A meta-analysis.</w:t>
      </w:r>
      <w:r>
        <w:t xml:space="preserve"> </w:t>
      </w:r>
      <w:r>
        <w:rPr>
          <w:iCs/>
          <w:i/>
        </w:rPr>
        <w:t xml:space="preserve">Asia Pacific Journal of Management</w:t>
      </w:r>
      <w:r>
        <w:t xml:space="preserve">. https://doi.org/10.1007/s10490-025-10076-8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 https://doi.org/10.1057/palgrave.jibs.8400275</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Malerba, F., &amp; Orsenigo, L. (1995). Schumpeterian patterns of innovation.</w:t>
      </w:r>
      <w:r>
        <w:t xml:space="preserve"> </w:t>
      </w:r>
      <w:r>
        <w:rPr>
          <w:iCs/>
          <w:i/>
        </w:rPr>
        <w:t xml:space="preserve">Cambridge Journal of Economics, 19</w:t>
      </w:r>
      <w:r>
        <w:t xml:space="preserve">(1), 47–65. https://doi.org/10.1093/oxfordjournals.cje.a035301</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in preparation].</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Mondal, A., Ray, S., &amp; Lahiri, S. (2022). Family ownership, family management, and multinationality: Evidence from India.</w:t>
      </w:r>
      <w:r>
        <w:t xml:space="preserve"> </w:t>
      </w:r>
      <w:r>
        <w:rPr>
          <w:iCs/>
          <w:i/>
        </w:rPr>
        <w:t xml:space="preserve">Journal of Business Research, 138</w:t>
      </w:r>
      <w:r>
        <w:t xml:space="preserve">, 347–359. https://doi.org/10.1016/j.jbusres.2021.09.017</w:t>
      </w:r>
    </w:p>
    <w:p>
      <w:pPr>
        <w:pStyle w:val="BodyText"/>
      </w:pPr>
      <w:r>
        <w:t xml:space="preserve">Murhadi, W. R., Setiawan, S. S., &amp; Ernawati, E. (2025). Governance and internationalisation on firm performance: A case study in Indonesia and Malaysia.</w:t>
      </w:r>
      <w:r>
        <w:t xml:space="preserve"> </w:t>
      </w:r>
      <w:r>
        <w:rPr>
          <w:iCs/>
          <w:i/>
        </w:rPr>
        <w:t xml:space="preserve">Revista de Métodos Cuantitativos para la Economía y la Empresa, 40</w:t>
      </w:r>
      <w:r>
        <w:t xml:space="preserve">, 1–15. https://doi.org/10.46661/rev.metodoscuant.econ.empresa.10865</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Pan, Y., Verbeke, A., &amp; Yuan, W. (2021). CEO transformational leadership and corporate entrepreneurship in China.</w:t>
      </w:r>
      <w:r>
        <w:t xml:space="preserve"> </w:t>
      </w:r>
      <w:r>
        <w:rPr>
          <w:iCs/>
          <w:i/>
        </w:rPr>
        <w:t xml:space="preserve">Management and Organization Review, 17</w:t>
      </w:r>
      <w:r>
        <w:t xml:space="preserve">(1), 45–76. https://doi.org/10.1017/mor.2020.59</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Peng, M. W. (2001). The resource-based view and international business.</w:t>
      </w:r>
      <w:r>
        <w:t xml:space="preserve"> </w:t>
      </w:r>
      <w:r>
        <w:rPr>
          <w:iCs/>
          <w:i/>
        </w:rPr>
        <w:t xml:space="preserve">Journal of Management, 27</w:t>
      </w:r>
      <w:r>
        <w:t xml:space="preserve">(6), 803–829. https://doi.org/10.1177/014920630102700604</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Phan, A. T., Do, T. H., &amp; Phan, M. T. (2020b).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p>
      <w:pPr>
        <w:pStyle w:val="BodyText"/>
      </w:pPr>
      <w:r>
        <w:t xml:space="preserve">Phan, A. T., Tran, T. M., &amp; Lu, T. M. (2020a).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Santangelo, G. D., &amp; Verbeke, A. (2022). Actionable guidelines to improve</w:t>
      </w:r>
      <w:r>
        <w:t xml:space="preserve"> </w:t>
      </w:r>
      <w:r>
        <w:t xml:space="preserve">‘</w:t>
      </w:r>
      <w:r>
        <w:t xml:space="preserve">theory-related</w:t>
      </w:r>
      <w:r>
        <w:t xml:space="preserve">’</w:t>
      </w:r>
      <w:r>
        <w:t xml:space="preserve"> </w:t>
      </w:r>
      <w:r>
        <w:t xml:space="preserve">contributions to international business research.</w:t>
      </w:r>
      <w:r>
        <w:t xml:space="preserve"> </w:t>
      </w:r>
      <w:r>
        <w:rPr>
          <w:iCs/>
          <w:i/>
        </w:rPr>
        <w:t xml:space="preserve">Journal of International Business Studies, 53</w:t>
      </w:r>
      <w:r>
        <w:t xml:space="preserve">(9), 1843–1855. https://doi.org/10.1057/s41267-022-00567-x</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Sikdar, S., &amp; Mukhopadhyay, A. (2026). Productivity gains in Indian manufacturing: Insights from formal and informal sectors.</w:t>
      </w:r>
      <w:r>
        <w:t xml:space="preserve"> </w:t>
      </w:r>
      <w:r>
        <w:rPr>
          <w:iCs/>
          <w:i/>
        </w:rPr>
        <w:t xml:space="preserve">Asian Development Review, 43</w:t>
      </w:r>
      <w:r>
        <w:t xml:space="preserve">(1), Article 12. Asian Development Bank.</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Thomas, D. C., Cuervo-Cazurra, A., &amp; Brannen, M. Y. (2011). From the Editors: Explaining theoretical relationships in international business research: Focusing on the arrows, NOT the boxes.</w:t>
      </w:r>
      <w:r>
        <w:t xml:space="preserve"> </w:t>
      </w:r>
      <w:r>
        <w:rPr>
          <w:iCs/>
          <w:i/>
        </w:rPr>
        <w:t xml:space="preserve">Journal of International Business Studies, 42</w:t>
      </w:r>
      <w:r>
        <w:t xml:space="preserve">(9), 1073–1080. https://doi.org/10.1057/jibs.2011.47</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p>
      <w:pPr>
        <w:pStyle w:val="BodyText"/>
      </w:pPr>
      <w:r>
        <w:t xml:space="preserve">Verbeke, A., Eschmann, D., &amp; Gugler, P. (2025). Asymmetries in firm-level globalization: The case of Swiss multinational enterprises.</w:t>
      </w:r>
      <w:r>
        <w:t xml:space="preserve"> </w:t>
      </w:r>
      <w:r>
        <w:rPr>
          <w:iCs/>
          <w:i/>
        </w:rPr>
        <w:t xml:space="preserve">Management International Review, 65</w:t>
      </w:r>
      <w:r>
        <w:t xml:space="preserve">(2), 305–328. https://doi.org/10.1007/s11575-025-00568-6</w:t>
      </w:r>
    </w:p>
    <w:p>
      <w:pPr>
        <w:pStyle w:val="BodyText"/>
      </w:pPr>
      <w:r>
        <w:t xml:space="preserve">Verbeke, A., Oh, C. H., &amp; Jain, R. (2025). What is the future of regional multinational enterprises?</w:t>
      </w:r>
      <w:r>
        <w:t xml:space="preserve"> </w:t>
      </w:r>
      <w:r>
        <w:rPr>
          <w:iCs/>
          <w:i/>
        </w:rPr>
        <w:t xml:space="preserve">International Business Review</w:t>
      </w:r>
      <w:r>
        <w:t xml:space="preserve">. https://doi.org/10.1016/j.ibusrev.2025.102442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Wach, K. (2021). The evolution of the Uppsala model: Towards non-linearity of internationalization of firms.</w:t>
      </w:r>
      <w:r>
        <w:t xml:space="preserve"> </w:t>
      </w:r>
      <w:r>
        <w:rPr>
          <w:iCs/>
          <w:i/>
        </w:rPr>
        <w:t xml:space="preserve">International Entrepreneurship Review, 7</w:t>
      </w:r>
      <w:r>
        <w:t xml:space="preserve">(2), 7–19. https://doi.org/10.15678/IER.2021.0702.01</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 https://doi.org/10.1016/j.irfa.2024.103249</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Williamson, O. E. (2000). The new institutional economics: Taking stock, looking ahead.</w:t>
      </w:r>
      <w:r>
        <w:t xml:space="preserve"> </w:t>
      </w:r>
      <w:r>
        <w:rPr>
          <w:iCs/>
          <w:i/>
        </w:rPr>
        <w:t xml:space="preserve">Journal of Economic Literature, 38</w:t>
      </w:r>
      <w:r>
        <w:t xml:space="preserve">(3), 595–613. https://doi.org/10.1257/jel.38.3.595</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(2025, July 1).</w:t>
      </w:r>
      <w:r>
        <w:t xml:space="preserve"> </w:t>
      </w:r>
      <w:r>
        <w:rPr>
          <w:iCs/>
          <w:i/>
        </w:rPr>
        <w:t xml:space="preserve">Hướng dẫn học tập: Hệ thống phân loại quốc gia và khảo sát doanh nghiệp của Ngân hàng Thế giới (FY26)</w:t>
      </w:r>
      <w:r>
        <w:t xml:space="preserve"> </w:t>
      </w:r>
      <w:r>
        <w:t xml:space="preserve">[Learning guide: World Bank country classification system FY26]. World Bank.</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t xml:space="preserve">World Bank. (n.d.).</w:t>
      </w:r>
      <w:r>
        <w:t xml:space="preserve"> </w:t>
      </w:r>
      <w:r>
        <w:rPr>
          <w:iCs/>
          <w:i/>
        </w:rPr>
        <w:t xml:space="preserve">Tài liệu tóm tắt: Các chỉ số khảo sát doanh nghiệp Enterprise Surveys</w:t>
      </w:r>
      <w:r>
        <w:t xml:space="preserve"> </w:t>
      </w:r>
      <w:r>
        <w:t xml:space="preserve">[Summary document: Enterprise Survey indicators]. World Bank. https://www.enterprisesurveys.org</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Xu, J. (2024). Rethinking institutional arbitrage: De jure exposure and de facto enforcement.</w:t>
      </w:r>
      <w:r>
        <w:t xml:space="preserve"> </w:t>
      </w:r>
      <w:r>
        <w:rPr>
          <w:iCs/>
          <w:i/>
        </w:rPr>
        <w:t xml:space="preserve">Global Strategy Journal, 14</w:t>
      </w:r>
      <w:r>
        <w:t xml:space="preserve">(4), 754–799. https://doi.org/10.1002/gsj.1510</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p>
      <w:pPr>
        <w:pStyle w:val="BodyText"/>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r>
        <w:br w:type="page"/>
      </w:r>
    </w:p>
    <w:bookmarkEnd w:id="313"/>
    <w:bookmarkStart w:id="324"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314"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314"/>
    <w:bookmarkStart w:id="315"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315"/>
    <w:bookmarkStart w:id="316"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(mẫu gộp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thành phần dữ liệu bảng (panel), khu vực phi chính thức,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phân tích 50 nền =</w:t>
            </w:r>
            <w:r>
              <w:t xml:space="preserve"> </w:t>
            </w:r>
            <w:r>
              <w:rPr>
                <w:bCs/>
                <w:b/>
              </w:rPr>
              <w:t xml:space="preserve">88.869</w:t>
            </w:r>
            <w:r>
              <w:t xml:space="preserve"> </w:t>
            </w:r>
            <w:r>
              <w:t xml:space="preserve">DN / 103 cặp nền-năm</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listwise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mẫu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các đợt khảo sát giai đoạn 2006–2026.</w:t>
      </w:r>
    </w:p>
    <w:p>
      <w:pPr>
        <w:pStyle w:val="BlockText"/>
      </w:pPr>
      <w:r>
        <w:rPr>
          <w:bCs/>
          <w:b/>
        </w:rPr>
        <w:t xml:space="preserve">Lưu ý về khung mô tả LP-valid (Bảng 4.1, Chương 4).</w:t>
      </w:r>
      <w:r>
        <w:t xml:space="preserve"> </w:t>
      </w:r>
      <w:r>
        <w:t xml:space="preserve">Thống kê mô tả ở Chương 4</w:t>
      </w:r>
      <w:r>
        <w:t xml:space="preserve"> </w:t>
      </w:r>
      <w:r>
        <w:t xml:space="preserve">dựa trên</w:t>
      </w:r>
      <w:r>
        <w:t xml:space="preserve"> </w:t>
      </w:r>
      <w:r>
        <w:rPr>
          <w:bCs/>
          <w:b/>
        </w:rPr>
        <w:t xml:space="preserve">khung mô tả năng suất lao động hợp lệ (LP-valid)</w:t>
      </w:r>
      <w:r>
        <w:t xml:space="preserve"> </w:t>
      </w:r>
      <w:r>
        <w:t xml:space="preserve">=</w:t>
      </w:r>
      <w:r>
        <w:t xml:space="preserve"> </w:t>
      </w:r>
      <w:r>
        <w:rPr>
          <w:bCs/>
          <w:b/>
        </w:rPr>
        <w:t xml:space="preserve">84.998 DN / 50 nền /</w:t>
      </w:r>
      <w:r>
        <w:rPr>
          <w:bCs/>
          <w:b/>
        </w:rPr>
        <w:t xml:space="preserve"> </w:t>
      </w:r>
      <w:r>
        <w:rPr>
          <w:bCs/>
          <w:b/>
        </w:rPr>
        <w:t xml:space="preserve">107 cặp nền-năm</w:t>
      </w:r>
      <w:r>
        <w:t xml:space="preserve">, dựng bằng pipeline mô tả chuẩn (</w:t>
      </w:r>
      <w:r>
        <w:rPr>
          <w:rStyle w:val="VerbatimChar"/>
        </w:rPr>
        <w:t xml:space="preserve">scripts/relock_descriptives_canonical.py</w:t>
      </w:r>
      <w:r>
        <w:t xml:space="preserve">).</w:t>
      </w:r>
      <w:r>
        <w:t xml:space="preserve"> </w:t>
      </w:r>
      <w:r>
        <w:t xml:space="preserve">Khung này</w:t>
      </w:r>
      <w:r>
        <w:t xml:space="preserve"> </w:t>
      </w:r>
      <w:r>
        <w:rPr>
          <w:bCs/>
          <w:b/>
        </w:rPr>
        <w:t xml:space="preserve">không lồng</w:t>
      </w:r>
      <w:r>
        <w:t xml:space="preserve"> </w:t>
      </w:r>
      <w:r>
        <w:t xml:space="preserve">trong khung phân tích 88.869/103 cặp ở S5–S6 vì hai tiêu chí</w:t>
      </w:r>
      <w:r>
        <w:t xml:space="preserve"> </w:t>
      </w:r>
      <w:r>
        <w:t xml:space="preserve">đưa vào khác nhau: (i) khung mô tả chỉ đòi hỏi</w:t>
      </w:r>
      <w:r>
        <w:t xml:space="preserve"> </w:t>
      </w:r>
      <w:r>
        <w:rPr>
          <w:bCs/>
          <w:b/>
        </w:rPr>
        <w:t xml:space="preserve">năng suất lao động hợp lệ</w:t>
      </w:r>
      <w:r>
        <w:t xml:space="preserve"> </w:t>
      </w:r>
      <w:r>
        <w:t xml:space="preserve">(winsorize</w:t>
      </w:r>
      <w:r>
        <w:t xml:space="preserve"> </w:t>
      </w:r>
      <w:r>
        <w:t xml:space="preserve">1/99 trong từng cặp nền–năm), nên trải trên</w:t>
      </w:r>
      <w:r>
        <w:t xml:space="preserve"> </w:t>
      </w:r>
      <w:r>
        <w:rPr>
          <w:bCs/>
          <w:b/>
        </w:rPr>
        <w:t xml:space="preserve">107</w:t>
      </w:r>
      <w:r>
        <w:t xml:space="preserve"> </w:t>
      </w:r>
      <w:r>
        <w:t xml:space="preserve">cặp — thêm 4 cặp nền-năm thưa có</w:t>
      </w:r>
      <w:r>
        <w:t xml:space="preserve"> </w:t>
      </w:r>
      <w:r>
        <w:t xml:space="preserve">doanh nghiệp LP hợp lệ nhưng bị khung hồi quy loại do thiếu biến kiểm soát trọng tâm;</w:t>
      </w:r>
      <w:r>
        <w:t xml:space="preserve"> </w:t>
      </w:r>
      <w:r>
        <w:t xml:space="preserve">(ii) khung phân tích 103 cặp đòi hỏi</w:t>
      </w:r>
      <w:r>
        <w:t xml:space="preserve"> </w:t>
      </w:r>
      <w:r>
        <w:rPr>
          <w:bCs/>
          <w:b/>
        </w:rPr>
        <w:t xml:space="preserve">đủ cả biến phụ thuộc lẫn biến giải thích cốt lõi</w:t>
      </w:r>
      <w:r>
        <w:t xml:space="preserve">,</w:t>
      </w:r>
      <w:r>
        <w:t xml:space="preserve"> </w:t>
      </w:r>
      <w:r>
        <w:t xml:space="preserve">nên có ít cặp hơn nhưng nhiều doanh nghiệp hơn (88.869). Vì vậy hai con số 103 và 107</w:t>
      </w:r>
      <w:r>
        <w:t xml:space="preserve"> </w:t>
      </w:r>
      <w:r>
        <w:rPr>
          <w:bCs/>
          <w:b/>
        </w:rPr>
        <w:t xml:space="preserve">không mâu thuẫn</w:t>
      </w:r>
      <w:r>
        <w:t xml:space="preserve"> </w:t>
      </w:r>
      <w:r>
        <w:t xml:space="preserve">mà phản ánh hai lớp khung phục vụ hai mục đích (mô tả vs hồi quy).</w:t>
      </w:r>
    </w:p>
    <w:p>
      <w:pPr>
        <w:pStyle w:val="FirstParagraph"/>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316"/>
    <w:bookmarkStart w:id="317"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phân hệ cốt lõi bất biến của bộ công cụ WBES</w:t>
      </w:r>
      <w:r>
        <w:t xml:space="preserve"> </w:t>
      </w:r>
      <w:r>
        <w:t xml:space="preserve">toàn cầu (World Bank, 2019). Các biến trọng tâm và quy tắc xây dựng:</w:t>
      </w:r>
    </w:p>
    <w:p>
      <w:pPr>
        <w:numPr>
          <w:ilvl w:val="0"/>
          <w:numId w:val="1019"/>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19"/>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19"/>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19"/>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317"/>
    <w:bookmarkStart w:id="318"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mẫu gộp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20"/>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20"/>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phổ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318"/>
    <w:bookmarkStart w:id="319" w:name="Xf45930a67b7d14d50ac9d239ac9d86977335dc2"/>
    <w:p>
      <w:pPr>
        <w:pStyle w:val="Heading2"/>
      </w:pPr>
      <w:r>
        <w:t xml:space="preserve">A.6 Chiến lược hợp nhất kinh tế lượng (dữ liệu gộp lát cắt ngang lặp lại)</w:t>
      </w:r>
    </w:p>
    <w:p>
      <w:pPr>
        <w:pStyle w:val="FirstParagraph"/>
      </w:pPr>
      <w:r>
        <w:t xml:space="preserve">Vì dữ liệu là lát cắt ngang lặp lại chứ không phải dữ liệu bảng, ước lượng tuân theo khung</w:t>
      </w:r>
      <w:r>
        <w:t xml:space="preserve"> </w:t>
      </w:r>
      <w:r>
        <w:rPr>
          <w:bCs/>
          <w:b/>
        </w:rPr>
        <w:t xml:space="preserve">gộp lát cắt ngang (pooled</w:t>
      </w:r>
      <w:r>
        <w:rPr>
          <w:bCs/>
          <w:b/>
        </w:rPr>
        <w:t xml:space="preserve"> </w:t>
      </w:r>
      <w:r>
        <w:rPr>
          <w:bCs/>
          <w:b/>
        </w:rPr>
        <w:t xml:space="preserve">cross-section) với hiệu ứng cố định</w:t>
      </w:r>
      <w:r>
        <w:t xml:space="preserve"> </w:t>
      </w:r>
      <w:r>
        <w:t xml:space="preserve">thay vì mô hình bảng động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319"/>
    <w:bookmarkStart w:id="320"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mẫu gộp</w:t>
      </w:r>
      <w:r>
        <w:t xml:space="preserve"> </w:t>
      </w:r>
      <w:r>
        <w:t xml:space="preserve">phân loại 52 nền cho mục đích độ vững (riêng Comoros được dùng trong kiểm định độ vững</w:t>
      </w:r>
      <w:r>
        <w:t xml:space="preserve"> </w:t>
      </w:r>
      <w:r>
        <w:t xml:space="preserve">mở rộng của P8).</w:t>
      </w:r>
    </w:p>
    <w:bookmarkEnd w:id="320"/>
    <w:bookmarkStart w:id="321"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321"/>
    <w:bookmarkStart w:id="322"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mô hình và kiểm tra tính ổn định của</w:t>
      </w:r>
      <w:r>
        <w:t xml:space="preserve"> </w:t>
      </w:r>
      <w:r>
        <w:t xml:space="preserve">điểm uốn để bảo đảm kết quả không bị chi phối bởi cơ chế khuyết (Little &amp; Rubin, 2019).</w:t>
      </w:r>
    </w:p>
    <w:bookmarkEnd w:id="322"/>
    <w:bookmarkStart w:id="323"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biến đại diện (proxy) cho hiệu quả, không phải</w:t>
      </w:r>
      <w:r>
        <w:t xml:space="preserve"> </w:t>
      </w:r>
      <w:r>
        <w:t xml:space="preserve">TFPR trực tiếp; (iii) đo lường DAI bị giới hạn ở biến đại diện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và dữ liệu (phục vụ tái lập):</w:t>
      </w:r>
    </w:p>
    <w:p>
      <w:pPr>
        <w:numPr>
          <w:ilvl w:val="0"/>
          <w:numId w:val="1021"/>
        </w:numPr>
        <w:pStyle w:val="Compact"/>
      </w:pPr>
      <w:r>
        <w:rPr>
          <w:rStyle w:val="VerbatimChar"/>
        </w:rPr>
        <w:t xml:space="preserve">scripts/build_pooled_dataset.py</w:t>
      </w:r>
    </w:p>
    <w:p>
      <w:pPr>
        <w:numPr>
          <w:ilvl w:val="0"/>
          <w:numId w:val="1021"/>
        </w:numPr>
        <w:pStyle w:val="Compact"/>
      </w:pPr>
      <w:r>
        <w:rPr>
          <w:rStyle w:val="VerbatimChar"/>
        </w:rPr>
        <w:t xml:space="preserve">scripts/wbes_canon.py</w:t>
      </w:r>
    </w:p>
    <w:p>
      <w:pPr>
        <w:numPr>
          <w:ilvl w:val="0"/>
          <w:numId w:val="1021"/>
        </w:numPr>
        <w:pStyle w:val="Compact"/>
      </w:pPr>
      <w:r>
        <w:rPr>
          <w:rStyle w:val="VerbatimChar"/>
        </w:rPr>
        <w:t xml:space="preserve">scripts/cd1_descriptives_pipeline.py</w:t>
      </w:r>
    </w:p>
    <w:p>
      <w:pPr>
        <w:numPr>
          <w:ilvl w:val="0"/>
          <w:numId w:val="1021"/>
        </w:numPr>
        <w:pStyle w:val="Compact"/>
      </w:pPr>
      <w:r>
        <w:rPr>
          <w:rStyle w:val="VerbatimChar"/>
        </w:rPr>
        <w:t xml:space="preserve">data_wbes/analysis/pooled_dataflow.csv</w:t>
      </w:r>
    </w:p>
    <w:p>
      <w:pPr>
        <w:numPr>
          <w:ilvl w:val="0"/>
          <w:numId w:val="1021"/>
        </w:numPr>
        <w:pStyle w:val="Compact"/>
      </w:pPr>
      <w:r>
        <w:rPr>
          <w:rStyle w:val="VerbatimChar"/>
        </w:rPr>
        <w:t xml:space="preserve">DATA_UPDATE_MANIFEST.md</w:t>
      </w:r>
    </w:p>
    <w:p>
      <w:pPr>
        <w:numPr>
          <w:ilvl w:val="0"/>
          <w:numId w:val="1021"/>
        </w:numPr>
        <w:pStyle w:val="Compact"/>
      </w:pPr>
      <w:r>
        <w:rPr>
          <w:rStyle w:val="VerbatimChar"/>
        </w:rPr>
        <w:t xml:space="preserve">CANONICAL_RECONCILIATION.md</w:t>
      </w:r>
    </w:p>
    <w:p>
      <w:r>
        <w:br w:type="page"/>
      </w:r>
    </w:p>
    <w:bookmarkEnd w:id="323"/>
    <w:bookmarkEnd w:id="324"/>
    <w:bookmarkStart w:id="330" w:name="X86341329d4ca9e5afda73fb4c3b7168d5c43eb3"/>
    <w:p>
      <w:pPr>
        <w:pStyle w:val="Heading1"/>
      </w:pPr>
      <w:r>
        <w:t xml:space="preserve">PHỤ LỤC B: CÔNG CỤ TRÍCH XUẤT DỮ LIỆU META-ANALYSIS M-AIDA</w:t>
      </w:r>
    </w:p>
    <w:p>
      <w:pPr>
        <w:pStyle w:val="BlockText"/>
      </w:pPr>
      <w:r>
        <w:t xml:space="preserve">Phụ lục này mô tả phần mềm</w:t>
      </w:r>
      <w:r>
        <w:t xml:space="preserve"> </w:t>
      </w:r>
      <w:r>
        <w:rPr>
          <w:bCs/>
          <w:b/>
        </w:rPr>
        <w:t xml:space="preserve">M-AIDA</w:t>
      </w:r>
      <w:r>
        <w:t xml:space="preserve"> </w:t>
      </w:r>
      <w:r>
        <w:t xml:space="preserve">(Meta-Analysis Intelligent Data Assistant,</w:t>
      </w:r>
      <w:r>
        <w:t xml:space="preserve"> </w:t>
      </w:r>
      <w:r>
        <w:t xml:space="preserve">phiên bản 7.0) — công cụ do chính nghiên cứu sinh phát triển và đã nộp hồ sơ đăng ký</w:t>
      </w:r>
      <w:r>
        <w:t xml:space="preserve"> </w:t>
      </w:r>
      <w:r>
        <w:t xml:space="preserve">quyền tác giả, dùng để trích xuất và quản trị dữ liệu cỡ ảnh hưởng cho cấu phần phân</w:t>
      </w:r>
      <w:r>
        <w:t xml:space="preserve"> </w:t>
      </w:r>
      <w:r>
        <w:t xml:space="preserve">tích tổng hợp của luận án (Nghiên cứu thành phần P6). Phụ lục được trình bày như</w:t>
      </w:r>
      <w:r>
        <w:t xml:space="preserve"> </w:t>
      </w:r>
      <w:r>
        <w:rPr>
          <w:bCs/>
          <w:b/>
        </w:rPr>
        <w:t xml:space="preserve">một</w:t>
      </w:r>
      <w:r>
        <w:rPr>
          <w:bCs/>
          <w:b/>
        </w:rPr>
        <w:t xml:space="preserve"> </w:t>
      </w:r>
      <w:r>
        <w:rPr>
          <w:bCs/>
          <w:b/>
        </w:rPr>
        <w:t xml:space="preserve">cấu phần minh bạch phương pháp luận</w:t>
      </w:r>
      <w:r>
        <w:t xml:space="preserve">, nhằm bảo đảm khả năng tái lập, công bố sử dụng</w:t>
      </w:r>
      <w:r>
        <w:t xml:space="preserve"> </w:t>
      </w:r>
      <w:r>
        <w:t xml:space="preserve">trí tuệ nhân tạo, và khả năng phản biện trước hội đồng.</w:t>
      </w:r>
    </w:p>
    <w:bookmarkStart w:id="325" w:name="X6d93590c0a3fbf80b7f247fba2520689e8b440a"/>
    <w:p>
      <w:pPr>
        <w:pStyle w:val="Heading2"/>
      </w:pPr>
      <w:r>
        <w:t xml:space="preserve">B.1 Mục đích và vị trí trong thiết kế nghiên cứu</w:t>
      </w:r>
    </w:p>
    <w:p>
      <w:pPr>
        <w:pStyle w:val="FirstParagraph"/>
      </w:pPr>
      <w:r>
        <w:t xml:space="preserve">Cấu phần phân tích tổng hợp (Mục 3.2) tổng hợp K=288 cỡ ảnh hưởng từ k=238 nghiên cứu</w:t>
      </w:r>
      <w:r>
        <w:t xml:space="preserve"> </w:t>
      </w:r>
      <w:r>
        <w:t xml:space="preserve">thực nghiệm về quan hệ quốc tế hóa–hiệu quả (I–P) giai đoạn 1977–2026. Trích xuất thủ</w:t>
      </w:r>
      <w:r>
        <w:t xml:space="preserve"> </w:t>
      </w:r>
      <w:r>
        <w:t xml:space="preserve">công thuần túy ở quy mô này vừa tốn kém vừa dễ phát sinh sai số ghi chép; ngược lại, trích</w:t>
      </w:r>
      <w:r>
        <w:t xml:space="preserve"> </w:t>
      </w:r>
      <w:r>
        <w:t xml:space="preserve">xuất hoàn toàn tự động bằng mô hình ngôn ngữ lớn (LLM) lại tiềm ẩn rủi ro</w:t>
      </w:r>
      <w:r>
        <w:t xml:space="preserve"> </w:t>
      </w:r>
      <w:r>
        <w:t xml:space="preserve">“</w:t>
      </w:r>
      <w:r>
        <w:t xml:space="preserve">ảo giác</w:t>
      </w:r>
      <w:r>
        <w:t xml:space="preserve">”</w:t>
      </w:r>
      <w:r>
        <w:t xml:space="preserve"> </w:t>
      </w:r>
      <w:r>
        <w:t xml:space="preserve">số liệu</w:t>
      </w:r>
      <w:r>
        <w:t xml:space="preserve"> </w:t>
      </w:r>
      <w:r>
        <w:t xml:space="preserve">và thiếu dấu vết kiểm toán. M-AIDA được thiết kế để dung hòa: tận dụng tốc độ của LLM cho</w:t>
      </w:r>
      <w:r>
        <w:t xml:space="preserve"> </w:t>
      </w:r>
      <w:r>
        <w:t xml:space="preserve">khâu đọc–trích, đồng thời đặt</w:t>
      </w:r>
      <w:r>
        <w:t xml:space="preserve"> </w:t>
      </w:r>
      <w:r>
        <w:rPr>
          <w:bCs/>
          <w:b/>
        </w:rPr>
        <w:t xml:space="preserve">toàn bộ quyền quyết định cuối cùng vào tay nghiên cứu sinh</w:t>
      </w:r>
      <w:r>
        <w:t xml:space="preserve"> </w:t>
      </w:r>
      <w:r>
        <w:t xml:space="preserve">(Principal Investigator, PI) thông qua quy trình xác minh và khóa dữ liệu bất biến.</w:t>
      </w:r>
    </w:p>
    <w:bookmarkEnd w:id="325"/>
    <w:bookmarkStart w:id="326" w:name="b.2-kiến-trúc-phần-mềm"/>
    <w:p>
      <w:pPr>
        <w:pStyle w:val="Heading2"/>
      </w:pPr>
      <w:r>
        <w:t xml:space="preserve">B.2 Kiến trúc phần mềm</w:t>
      </w:r>
    </w:p>
    <w:p>
      <w:pPr>
        <w:pStyle w:val="FirstParagraph"/>
      </w:pPr>
      <w:r>
        <w:t xml:space="preserve">M-AIDA gồm hai thành phần, giao tiếp qua REST API:</w:t>
      </w:r>
    </w:p>
    <w:p>
      <w:pPr>
        <w:numPr>
          <w:ilvl w:val="0"/>
          <w:numId w:val="1022"/>
        </w:numPr>
        <w:pStyle w:val="Compact"/>
      </w:pPr>
      <w:r>
        <w:rPr>
          <w:bCs/>
          <w:b/>
        </w:rPr>
        <w:t xml:space="preserve">Backend — FastAPI (Python 3.11+).</w:t>
      </w:r>
      <w:r>
        <w:t xml:space="preserve"> </w:t>
      </w:r>
      <w:r>
        <w:t xml:space="preserve">Các mô-đun chính:</w:t>
      </w:r>
      <w:r>
        <w:t xml:space="preserve"> </w:t>
      </w:r>
      <w:r>
        <w:rPr>
          <w:rStyle w:val="VerbatimChar"/>
        </w:rPr>
        <w:t xml:space="preserve">extractor.py</w:t>
      </w:r>
      <w:r>
        <w:t xml:space="preserve"> </w:t>
      </w:r>
      <w:r>
        <w:t xml:space="preserve">(lớp</w:t>
      </w:r>
      <w:r>
        <w:t xml:space="preserve"> </w:t>
      </w:r>
      <w:r>
        <w:rPr>
          <w:rStyle w:val="VerbatimChar"/>
        </w:rPr>
        <w:t xml:space="preserve">StatisticalExtractor</w:t>
      </w:r>
      <w:r>
        <w:t xml:space="preserve">: pipeline LLM trích cỡ ảnh hưởng từ văn bản PDF),</w:t>
      </w:r>
      <w:r>
        <w:t xml:space="preserve"> </w:t>
      </w:r>
      <w:r>
        <w:rPr>
          <w:rStyle w:val="VerbatimChar"/>
        </w:rPr>
        <w:t xml:space="preserve">models.py</w:t>
      </w:r>
      <w:r>
        <w:t xml:space="preserve"> </w:t>
      </w:r>
      <w:r>
        <w:t xml:space="preserve">(các mô hình dữ liệu Pydantic:</w:t>
      </w:r>
      <w:r>
        <w:t xml:space="preserve"> </w:t>
      </w:r>
      <w:r>
        <w:rPr>
          <w:rStyle w:val="VerbatimChar"/>
        </w:rPr>
        <w:t xml:space="preserve">ExtractedEffect</w:t>
      </w:r>
      <w:r>
        <w:t xml:space="preserve">,</w:t>
      </w:r>
      <w:r>
        <w:t xml:space="preserve"> </w:t>
      </w:r>
      <w:r>
        <w:rPr>
          <w:rStyle w:val="VerbatimChar"/>
        </w:rPr>
        <w:t xml:space="preserve">StudyDatabaseEntry</w:t>
      </w:r>
      <w:r>
        <w:t xml:space="preserve">,</w:t>
      </w:r>
      <w:r>
        <w:t xml:space="preserve"> </w:t>
      </w:r>
      <w:r>
        <w:rPr>
          <w:rStyle w:val="VerbatimChar"/>
        </w:rPr>
        <w:t xml:space="preserve">VerificationDecision</w:t>
      </w:r>
      <w:r>
        <w:t xml:space="preserve">),</w:t>
      </w:r>
      <w:r>
        <w:t xml:space="preserve"> </w:t>
      </w:r>
      <w:r>
        <w:rPr>
          <w:rStyle w:val="VerbatimChar"/>
        </w:rPr>
        <w:t xml:space="preserve">settings.py</w:t>
      </w:r>
      <w:r>
        <w:t xml:space="preserve"> </w:t>
      </w:r>
      <w:r>
        <w:t xml:space="preserve">(cấu hình runtime),</w:t>
      </w:r>
      <w:r>
        <w:t xml:space="preserve"> </w:t>
      </w:r>
      <w:r>
        <w:rPr>
          <w:rStyle w:val="VerbatimChar"/>
        </w:rPr>
        <w:t xml:space="preserve">notion_sync.py</w:t>
      </w:r>
      <w:r>
        <w:t xml:space="preserve"> </w:t>
      </w:r>
      <w:r>
        <w:t xml:space="preserve">(đồng bộ</w:t>
      </w:r>
      <w:r>
        <w:t xml:space="preserve"> </w:t>
      </w:r>
      <w:r>
        <w:t xml:space="preserve">cơ sở dữ liệu nghiên cứu). Thư viện xử lý: PyMuPDF (đọc PDF), Anthropic Claude SDK</w:t>
      </w:r>
      <w:r>
        <w:t xml:space="preserve"> </w:t>
      </w:r>
      <w:r>
        <w:t xml:space="preserve">(pipeline LLM), pandas/numpy/scipy (xử lý thống kê).</w:t>
      </w:r>
    </w:p>
    <w:p>
      <w:pPr>
        <w:numPr>
          <w:ilvl w:val="0"/>
          <w:numId w:val="1022"/>
        </w:numPr>
        <w:pStyle w:val="Compact"/>
      </w:pPr>
      <w:r>
        <w:rPr>
          <w:bCs/>
          <w:b/>
        </w:rPr>
        <w:t xml:space="preserve">Frontend — React 18 + TypeScript.</w:t>
      </w:r>
      <w:r>
        <w:t xml:space="preserve"> </w:t>
      </w:r>
      <w:r>
        <w:t xml:space="preserve">Bố cục hai thẻ: thẻ</w:t>
      </w:r>
      <w:r>
        <w:t xml:space="preserve"> </w:t>
      </w:r>
      <w:r>
        <w:rPr>
          <w:iCs/>
          <w:i/>
        </w:rPr>
        <w:t xml:space="preserve">Trích xuất</w:t>
      </w:r>
      <w:r>
        <w:t xml:space="preserve"> </w:t>
      </w:r>
      <w:r>
        <w:t xml:space="preserve">(upload PDF,</w:t>
      </w:r>
      <w:r>
        <w:t xml:space="preserve"> </w:t>
      </w:r>
      <w:r>
        <w:t xml:space="preserve">hiển thị kết quả LLM) và thẻ</w:t>
      </w:r>
      <w:r>
        <w:t xml:space="preserve"> </w:t>
      </w:r>
      <w:r>
        <w:rPr>
          <w:iCs/>
          <w:i/>
        </w:rPr>
        <w:t xml:space="preserve">Xác minh &amp; Khóa</w:t>
      </w:r>
      <w:r>
        <w:t xml:space="preserve"> </w:t>
      </w:r>
      <w:r>
        <w:t xml:space="preserve">(bảng điều khiển để PI rà soát, ghi đè,</w:t>
      </w:r>
      <w:r>
        <w:t xml:space="preserve"> </w:t>
      </w:r>
      <w:r>
        <w:t xml:space="preserve">phê duyệt và khóa từng nghiên cứu), kèm chức năng xuất CSV các nghiên cứu đã khóa.</w:t>
      </w:r>
    </w:p>
    <w:bookmarkEnd w:id="326"/>
    <w:bookmarkStart w:id="327" w:name="Xd490646ae04433afd3fe47be003ca47685bcf6d"/>
    <w:p>
      <w:pPr>
        <w:pStyle w:val="Heading2"/>
      </w:pPr>
      <w:r>
        <w:t xml:space="preserve">B.3 Quy trình trích xuất và chuyển đổi cỡ ảnh hưởng</w:t>
      </w:r>
    </w:p>
    <w:p>
      <w:pPr>
        <w:pStyle w:val="FirstParagraph"/>
      </w:pPr>
      <w:r>
        <w:t xml:space="preserve">Với mỗi PDF, M-AIDA đọc toàn văn bằng PyMuPDF rồi gửi tới LLM với một system prompt</w:t>
      </w:r>
      <w:r>
        <w:t xml:space="preserve"> </w:t>
      </w:r>
      <w:r>
        <w:t xml:space="preserve">chuyên biệt cho meta-analysis I–P, yêu cầu nhận diện: cỡ mẫu</w:t>
      </w:r>
      <w:r>
        <w:t xml:space="preserve"> </w:t>
      </w:r>
      <m:oMath>
        <m:r>
          <m:t>N</m:t>
        </m:r>
      </m:oMath>
      <w:r>
        <w:t xml:space="preserve">, hệ số tương quan</w:t>
      </w:r>
      <w:r>
        <w:t xml:space="preserve"> </w:t>
      </w:r>
      <w:r>
        <w:t xml:space="preserve">Pearson</w:t>
      </w:r>
      <w:r>
        <w:t xml:space="preserve"> </w:t>
      </w:r>
      <m:oMath>
        <m:r>
          <m:t>r</m:t>
        </m:r>
      </m:oMath>
      <w:r>
        <w:t xml:space="preserve">, thống kê</w:t>
      </w:r>
      <w:r>
        <w:t xml:space="preserve"> </w:t>
      </w:r>
      <m:oMath>
        <m:r>
          <m:t>t</m:t>
        </m:r>
      </m:oMath>
      <w:r>
        <w:t xml:space="preserve">, bậc tự do</w:t>
      </w:r>
      <w:r>
        <w:t xml:space="preserve"> </w:t>
      </w:r>
      <m:oMath>
        <m:r>
          <m:t>d</m:t>
        </m:r>
        <m:r>
          <m:t>f</m:t>
        </m:r>
      </m:oMath>
      <w:r>
        <w:t xml:space="preserve">, hệ số hồi quy chuẩn hóa</w:t>
      </w:r>
      <w:r>
        <w:t xml:space="preserve"> </w:t>
      </w:r>
      <m:oMath>
        <m:r>
          <m:t>β</m:t>
        </m:r>
      </m:oMath>
      <w:r>
        <w:t xml:space="preserve">, giá trị</w:t>
      </w:r>
      <w:r>
        <w:t xml:space="preserve"> </w:t>
      </w:r>
      <m:oMath>
        <m:r>
          <m:t>p</m:t>
        </m:r>
      </m:oMath>
      <w:r>
        <w:t xml:space="preserve">,</w:t>
      </w:r>
      <w:r>
        <w:t xml:space="preserve"> </w:t>
      </w:r>
      <w:r>
        <w:t xml:space="preserve">khoảng tin cậy 95%; đồng thời phân loại hai chiều xác định được từ văn bản (thước đo</w:t>
      </w:r>
      <w:r>
        <w:t xml:space="preserve"> </w:t>
      </w:r>
      <w:r>
        <w:t xml:space="preserve">quốc tế hóa: FSTS/GEO/EXP/FDI/COMP/OTH; thước đo hiệu quả: ACC/MKT/LAB/MIX) và cửa sổ</w:t>
      </w:r>
      <w:r>
        <w:t xml:space="preserve"> </w:t>
      </w:r>
      <w:r>
        <w:t xml:space="preserve">dữ liệu. Khi chỉ có thống kê phái sinh, hệ thống chuyển đổi về</w:t>
      </w:r>
      <w:r>
        <w:t xml:space="preserve"> </w:t>
      </w:r>
      <m:oMath>
        <m:r>
          <m:t>r</m:t>
        </m:r>
      </m:oMath>
      <w:r>
        <w:t xml:space="preserve"> </w:t>
      </w:r>
      <w:r>
        <w:t xml:space="preserve">theo chuẩn:</w:t>
      </w:r>
    </w:p>
    <w:p>
      <w:pPr>
        <w:pStyle w:val="BodyText"/>
      </w:pPr>
      <m:oMathPara>
        <m:oMathParaPr>
          <m:jc m:val="center"/>
        </m:oMathParaPr>
        <m:oMath>
          <m:r>
            <m:t>r</m:t>
          </m:r>
          <m:r>
            <m:rPr>
              <m:sty m:val="p"/>
            </m:rPr>
            <m:t>=</m:t>
          </m:r>
          <m:rad>
            <m:radPr>
              <m:degHide m:val="on"/>
            </m:radPr>
            <m:deg/>
            <m:e>
              <m:f>
                <m:fPr>
                  <m:type m:val="bar"/>
                </m:fPr>
                <m:num>
                  <m:sSup>
                    <m:e>
                      <m:r>
                        <m:t>t</m:t>
                      </m:r>
                    </m:e>
                    <m:sup>
                      <m:r>
                        <m:t>2</m:t>
                      </m:r>
                    </m:sup>
                  </m:sSup>
                </m:num>
                <m:den>
                  <m:sSup>
                    <m:e>
                      <m:r>
                        <m:t>t</m:t>
                      </m:r>
                    </m:e>
                    <m:sup>
                      <m:r>
                        <m:t>2</m:t>
                      </m:r>
                    </m:sup>
                  </m:sSup>
                  <m:r>
                    <m:rPr>
                      <m:sty m:val="p"/>
                    </m:rPr>
                    <m:t>+</m:t>
                  </m:r>
                  <m:r>
                    <m:t>d</m:t>
                  </m:r>
                  <m:r>
                    <m:t>f</m:t>
                  </m:r>
                </m:den>
              </m:f>
            </m:e>
          </m:rad>
          <m:r>
            <m:t> </m:t>
          </m:r>
          <m:r>
            <m:rPr>
              <m:nor/>
              <m:sty m:val="p"/>
            </m:rPr>
            <m:t>(Cohen, 1988)</m:t>
          </m:r>
          <m:r>
            <m:rPr>
              <m:sty m:val="p"/>
            </m:rPr>
            <m:t>;</m:t>
          </m:r>
          <m:r>
            <m:t>  </m:t>
          </m:r>
          <m:r>
            <m:t>r</m:t>
          </m:r>
          <m:r>
            <m:rPr>
              <m:sty m:val="p"/>
            </m:rPr>
            <m:t>≈</m:t>
          </m:r>
          <m:r>
            <m:t>0</m:t>
          </m:r>
          <m:r>
            <m:rPr>
              <m:sty m:val="p"/>
            </m:rPr>
            <m:t>,</m:t>
          </m:r>
          <m:r>
            <m:t>98</m:t>
          </m:r>
          <m:r>
            <m:t> </m:t>
          </m:r>
          <m:r>
            <m:t>β</m:t>
          </m:r>
          <m:r>
            <m:t> </m:t>
          </m:r>
          <m:r>
            <m:rPr>
              <m:nor/>
              <m:sty m:val="p"/>
            </m:rPr>
            <m:t>(Peterson &amp;Brown, 2005)</m:t>
          </m:r>
          <m:r>
            <m:rPr>
              <m:sty m:val="p"/>
            </m:rPr>
            <m:t>.</m:t>
          </m:r>
        </m:oMath>
      </m:oMathPara>
    </w:p>
    <w:p>
      <w:pPr>
        <w:pStyle w:val="FirstParagraph"/>
      </w:pPr>
      <w:r>
        <w:t xml:space="preserve">Mỗi bản ghi được gán</w:t>
      </w:r>
      <w:r>
        <w:t xml:space="preserve"> </w:t>
      </w:r>
      <w:r>
        <w:rPr>
          <w:bCs/>
          <w:b/>
        </w:rPr>
        <w:t xml:space="preserve">điểm tin cậy trích xuất</w:t>
      </w:r>
      <w:r>
        <w:t xml:space="preserve"> </w:t>
      </w:r>
      <w:r>
        <w:t xml:space="preserve">ba mức: 1,0 (lấy trực tiếp</w:t>
      </w:r>
      <w:r>
        <w:t xml:space="preserve"> </w:t>
      </w:r>
      <m:oMath>
        <m:r>
          <m:t>r</m:t>
        </m:r>
      </m:oMath>
      <w:r>
        <w:t xml:space="preserve">), 0,8</w:t>
      </w:r>
      <w:r>
        <w:t xml:space="preserve"> </w:t>
      </w:r>
      <w:r>
        <w:t xml:space="preserve">(suy từ</w:t>
      </w:r>
      <w:r>
        <w:t xml:space="preserve"> </w:t>
      </w:r>
      <m:oMath>
        <m:r>
          <m:t>t</m:t>
        </m:r>
      </m:oMath>
      <w:r>
        <w:t xml:space="preserve">), 0,6 (suy từ</w:t>
      </w:r>
      <w:r>
        <w:t xml:space="preserve"> </w:t>
      </w:r>
      <m:oMath>
        <m:r>
          <m:t>β</m:t>
        </m:r>
      </m:oMath>
      <w:r>
        <w:t xml:space="preserve">); bản ghi có độ tin cậy dưới 0,7 tự động bị gắn cờ</w:t>
      </w:r>
      <w:r>
        <w:t xml:space="preserve"> </w:t>
      </w:r>
      <w:r>
        <w:rPr>
          <w:rStyle w:val="VerbatimChar"/>
        </w:rPr>
        <w:t xml:space="preserve">requires_verification</w:t>
      </w:r>
      <w:r>
        <w:t xml:space="preserve">.</w:t>
      </w:r>
    </w:p>
    <w:bookmarkEnd w:id="327"/>
    <w:bookmarkStart w:id="328" w:name="X2995f31ab8f3a55ab6f991c85d8b72cf0b230e7"/>
    <w:p>
      <w:pPr>
        <w:pStyle w:val="Heading2"/>
      </w:pPr>
      <w:r>
        <w:t xml:space="preserve">B.4 Quản trị dữ liệu: nguyên tắc tách bạch, xác minh PI và khóa bất biến</w:t>
      </w:r>
    </w:p>
    <w:p>
      <w:pPr>
        <w:pStyle w:val="FirstParagraph"/>
      </w:pPr>
      <w:r>
        <w:t xml:space="preserve">Ba nguyên tắc quản trị bảo đảm tính kiểm chứng độc lập và liêm chính:</w:t>
      </w:r>
    </w:p>
    <w:p>
      <w:pPr>
        <w:numPr>
          <w:ilvl w:val="0"/>
          <w:numId w:val="1023"/>
        </w:numPr>
        <w:pStyle w:val="Compact"/>
      </w:pPr>
      <w:r>
        <w:rPr>
          <w:bCs/>
          <w:b/>
        </w:rPr>
        <w:t xml:space="preserve">Tách bạch máy–người.</w:t>
      </w:r>
      <w:r>
        <w:t xml:space="preserve"> </w:t>
      </w:r>
      <w:r>
        <w:t xml:space="preserve">LLM</w:t>
      </w:r>
      <w:r>
        <w:t xml:space="preserve"> </w:t>
      </w:r>
      <w:r>
        <w:rPr>
          <w:bCs/>
          <w:b/>
        </w:rPr>
        <w:t xml:space="preserve">chỉ</w:t>
      </w:r>
      <w:r>
        <w:t xml:space="preserve"> </w:t>
      </w:r>
      <w:r>
        <w:t xml:space="preserve">trích thống kê. Các biến điều tiết thể chế của</w:t>
      </w:r>
      <w:r>
        <w:t xml:space="preserve"> </w:t>
      </w:r>
      <w:r>
        <w:t xml:space="preserve">luận án — chế độ ICRV (I/II/III/FR/MX theo WGI Rule of Law), pha DPL (PRE/SPN/FOL theo</w:t>
      </w:r>
      <w:r>
        <w:t xml:space="preserve"> </w:t>
      </w:r>
      <w:r>
        <w:t xml:space="preserve">năm dữ liệu trung vị) và chỉ số cDAI (Digital Adoption Index 0–1) —</w:t>
      </w:r>
      <w:r>
        <w:t xml:space="preserve"> </w:t>
      </w:r>
      <w:r>
        <w:rPr>
          <w:bCs/>
          <w:b/>
        </w:rPr>
        <w:t xml:space="preserve">do PI gán thủ</w:t>
      </w:r>
      <w:r>
        <w:rPr>
          <w:bCs/>
          <w:b/>
        </w:rPr>
        <w:t xml:space="preserve"> </w:t>
      </w:r>
      <w:r>
        <w:rPr>
          <w:bCs/>
          <w:b/>
        </w:rPr>
        <w:t xml:space="preserve">công từ bảng tra cứu ngoài</w:t>
      </w:r>
      <w:r>
        <w:t xml:space="preserve">, không để LLM suy đoán.</w:t>
      </w:r>
    </w:p>
    <w:p>
      <w:pPr>
        <w:numPr>
          <w:ilvl w:val="0"/>
          <w:numId w:val="1023"/>
        </w:numPr>
        <w:pStyle w:val="Compact"/>
      </w:pPr>
      <w:r>
        <w:rPr>
          <w:bCs/>
          <w:b/>
        </w:rPr>
        <w:t xml:space="preserve">Xác minh PI.</w:t>
      </w:r>
      <w:r>
        <w:t xml:space="preserve"> </w:t>
      </w:r>
      <w:r>
        <w:t xml:space="preserve">PI có thể áp</w:t>
      </w:r>
      <w:r>
        <w:t xml:space="preserve"> </w:t>
      </w:r>
      <w:r>
        <w:rPr>
          <w:rStyle w:val="VerbatimChar"/>
        </w:rPr>
        <w:t xml:space="preserve">field_overrides</w:t>
      </w:r>
      <w:r>
        <w:t xml:space="preserve"> </w:t>
      </w:r>
      <w:r>
        <w:t xml:space="preserve">lên bất kỳ trường nào của bản ghi và</w:t>
      </w:r>
      <w:r>
        <w:t xml:space="preserve"> </w:t>
      </w:r>
      <w:r>
        <w:t xml:space="preserve">ghi</w:t>
      </w:r>
      <w:r>
        <w:t xml:space="preserve"> </w:t>
      </w:r>
      <w:r>
        <w:rPr>
          <w:rStyle w:val="VerbatimChar"/>
        </w:rPr>
        <w:t xml:space="preserve">pi_notes</w:t>
      </w:r>
      <w:r>
        <w:t xml:space="preserve">; chỉ khi PI phê duyệt thì cờ</w:t>
      </w:r>
      <w:r>
        <w:t xml:space="preserve"> </w:t>
      </w:r>
      <w:r>
        <w:rPr>
          <w:rStyle w:val="VerbatimChar"/>
        </w:rPr>
        <w:t xml:space="preserve">requires_verification</w:t>
      </w:r>
      <w:r>
        <w:t xml:space="preserve"> </w:t>
      </w:r>
      <w:r>
        <w:t xml:space="preserve">mới chuyển sang</w:t>
      </w:r>
      <w:r>
        <w:t xml:space="preserve"> </w:t>
      </w:r>
      <w:r>
        <w:rPr>
          <w:rStyle w:val="VerbatimChar"/>
        </w:rPr>
        <w:t xml:space="preserve">False</w:t>
      </w:r>
      <w:r>
        <w:t xml:space="preserve">.</w:t>
      </w:r>
    </w:p>
    <w:p>
      <w:pPr>
        <w:numPr>
          <w:ilvl w:val="0"/>
          <w:numId w:val="1023"/>
        </w:numPr>
        <w:pStyle w:val="Compact"/>
      </w:pPr>
      <w:r>
        <w:rPr>
          <w:bCs/>
          <w:b/>
        </w:rPr>
        <w:t xml:space="preserve">Khóa bất biến (irreversible lock).</w:t>
      </w:r>
      <w:r>
        <w:t xml:space="preserve"> </w:t>
      </w:r>
      <w:r>
        <w:t xml:space="preserve">Bản ghi đã phê duyệt được khóa vĩnh viễn</w:t>
      </w:r>
      <w:r>
        <w:t xml:space="preserve"> </w:t>
      </w:r>
      <w:r>
        <w:t xml:space="preserve">(</w:t>
      </w:r>
      <w:r>
        <w:rPr>
          <w:rStyle w:val="VerbatimChar"/>
        </w:rPr>
        <w:t xml:space="preserve">pi_locked = True</w:t>
      </w:r>
      <w:r>
        <w:t xml:space="preserve">, kèm</w:t>
      </w:r>
      <w:r>
        <w:t xml:space="preserve"> </w:t>
      </w:r>
      <w:r>
        <w:rPr>
          <w:rStyle w:val="VerbatimChar"/>
        </w:rPr>
        <w:t xml:space="preserve">locked_at</w:t>
      </w:r>
      <w:r>
        <w:t xml:space="preserve"> </w:t>
      </w:r>
      <w:r>
        <w:t xml:space="preserve">theo giờ UTC); thao tác</w:t>
      </w:r>
      <w:r>
        <w:t xml:space="preserve"> </w:t>
      </w:r>
      <w:r>
        <w:rPr>
          <w:bCs/>
          <w:b/>
        </w:rPr>
        <w:t xml:space="preserve">không thể đảo ngược</w:t>
      </w:r>
      <w:r>
        <w:t xml:space="preserve">.</w:t>
      </w:r>
      <w:r>
        <w:t xml:space="preserve"> </w:t>
      </w:r>
      <w:r>
        <w:t xml:space="preserve">Chỉ các bản ghi đã khóa mới được xuất ra tập dữ liệu phân tích tổng hợp.</w:t>
      </w:r>
    </w:p>
    <w:p>
      <w:pPr>
        <w:pStyle w:val="FirstParagraph"/>
      </w:pPr>
      <w:r>
        <w:t xml:space="preserve">Cơ chế hai bước phê duyệt–khóa tạo</w:t>
      </w:r>
      <w:r>
        <w:t xml:space="preserve"> </w:t>
      </w:r>
      <w:r>
        <w:rPr>
          <w:bCs/>
          <w:b/>
        </w:rPr>
        <w:t xml:space="preserve">dấu vết kiểm toán (audit trail)</w:t>
      </w:r>
      <w:r>
        <w:t xml:space="preserve"> </w:t>
      </w:r>
      <w:r>
        <w:t xml:space="preserve">phân tách rõ phần</w:t>
      </w:r>
      <w:r>
        <w:t xml:space="preserve"> </w:t>
      </w:r>
      <w:r>
        <w:t xml:space="preserve">do máy trích xuất với phần do con người quyết định — đặc tính cốt lõi giúp kết quả meta-</w:t>
      </w:r>
      <w:r>
        <w:t xml:space="preserve"> </w:t>
      </w:r>
      <w:r>
        <w:t xml:space="preserve">analysis có thể tái lập và phản biện.</w:t>
      </w:r>
    </w:p>
    <w:bookmarkEnd w:id="328"/>
    <w:bookmarkStart w:id="329" w:name="X70bd36d09d5519c6a8efeaa4d46f4c4e0dca580"/>
    <w:p>
      <w:pPr>
        <w:pStyle w:val="Heading2"/>
      </w:pPr>
      <w:r>
        <w:t xml:space="preserve">B.5 Công bố sử dụng trí tuệ nhân tạo và liêm chính học thuật</w:t>
      </w:r>
    </w:p>
    <w:p>
      <w:pPr>
        <w:pStyle w:val="FirstParagraph"/>
      </w:pPr>
      <w:r>
        <w:t xml:space="preserve">Theo các khuyến nghị công bố sử dụng AI ngày càng phổ biến ở tạp chí học thuật, luận án</w:t>
      </w:r>
      <w:r>
        <w:t xml:space="preserve"> </w:t>
      </w:r>
      <w:r>
        <w:t xml:space="preserve">công bố minh bạch: (i) LLM được dùng</w:t>
      </w:r>
      <w:r>
        <w:t xml:space="preserve"> </w:t>
      </w:r>
      <w:r>
        <w:rPr>
          <w:bCs/>
          <w:b/>
        </w:rPr>
        <w:t xml:space="preserve">chỉ ở khâu trích xuất thống kê</w:t>
      </w:r>
      <w:r>
        <w:t xml:space="preserve"> </w:t>
      </w:r>
      <w:r>
        <w:t xml:space="preserve">trong cấu phần</w:t>
      </w:r>
      <w:r>
        <w:t xml:space="preserve"> </w:t>
      </w:r>
      <w:r>
        <w:t xml:space="preserve">phân tích tổng hợp, không dùng để sinh nội dung khoa học, không dùng để gán biến điều</w:t>
      </w:r>
      <w:r>
        <w:t xml:space="preserve"> </w:t>
      </w:r>
      <w:r>
        <w:t xml:space="preserve">tiết hay diễn giải kết quả; (ii)</w:t>
      </w:r>
      <w:r>
        <w:t xml:space="preserve"> </w:t>
      </w:r>
      <w:r>
        <w:rPr>
          <w:bCs/>
          <w:b/>
        </w:rPr>
        <w:t xml:space="preserve">toàn bộ</w:t>
      </w:r>
      <w:r>
        <w:t xml:space="preserve"> </w:t>
      </w:r>
      <w:r>
        <w:t xml:space="preserve">bản ghi đưa vào phân tích đã qua kiểm chứng</w:t>
      </w:r>
      <w:r>
        <w:t xml:space="preserve"> </w:t>
      </w:r>
      <w:r>
        <w:t xml:space="preserve">100% và phê duyệt của nghiên cứu sinh, kèm khóa dữ liệu bất biến; (iii) tập dữ liệu đã</w:t>
      </w:r>
      <w:r>
        <w:t xml:space="preserve"> </w:t>
      </w:r>
      <w:r>
        <w:t xml:space="preserve">khóa và mã nguồn công cụ được lưu giữ phục vụ kiểm tra tái lập. Nhờ đó, vai trò của trí</w:t>
      </w:r>
      <w:r>
        <w:t xml:space="preserve"> </w:t>
      </w:r>
      <w:r>
        <w:t xml:space="preserve">tuệ nhân tạo là</w:t>
      </w:r>
      <w:r>
        <w:t xml:space="preserve"> </w:t>
      </w:r>
      <w:r>
        <w:rPr>
          <w:bCs/>
          <w:b/>
        </w:rPr>
        <w:t xml:space="preserve">hỗ trợ năng suất ở khâu cơ học</w:t>
      </w:r>
      <w:r>
        <w:t xml:space="preserve">, trong khi trách nhiệm khoa học và mọi</w:t>
      </w:r>
      <w:r>
        <w:t xml:space="preserve"> </w:t>
      </w:r>
      <w:r>
        <w:t xml:space="preserve">quyết định nội dung thuộc về nghiên cứu sinh.</w:t>
      </w:r>
    </w:p>
    <w:p>
      <w:r>
        <w:br w:type="page"/>
      </w:r>
    </w:p>
    <w:bookmarkEnd w:id="329"/>
    <w:bookmarkEnd w:id="330"/>
    <w:bookmarkStart w:id="335" w:name="X68fd5ad814f5948ebb4636beacfe4f4c4f41559"/>
    <w:p>
      <w:pPr>
        <w:pStyle w:val="Heading1"/>
      </w:pPr>
      <w:r>
        <w:t xml:space="preserve">PHỤ LỤC C: BẢNG KẾT QUẢ CHI TIẾT CÁC NGHIÊN CỨU THÀNH PHẦN P3–P10</w:t>
      </w:r>
    </w:p>
    <w:p>
      <w:pPr>
        <w:pStyle w:val="FirstParagraph"/>
      </w:pPr>
      <w:r>
        <w:t xml:space="preserve">Phụ lục này hợp nhất các kết quả hồi quy chính, điểm uốn và bằng chứng độ vững của tám nghiên cứu thành phần (P3–P10) vào một chỗ để Hội đồng tra cứu nhanh và đối chiếu chéo. Mọi con số ở đây được rút trực tiếp từ Chương 4 (Mục 4.2–4.9) và giữ nguyên giá trị đã khóa của luận án; phần trình bày đầy đủ từng mô hình, kiểm định trung gian và diễn giải cơ chế nằm trong các mục tương ứng của Chương 4 và trong các bản thảo nghiên cứu thành phần độc lập. Quy ước ý nghĩa thống kê: †</w:t>
      </w:r>
      <w:r>
        <w:t xml:space="preserve"> </w:t>
      </w:r>
      <m:oMath>
        <m:r>
          <m:t>p</m:t>
        </m:r>
        <m:r>
          <m:rPr>
            <m:sty m:val="p"/>
          </m:rPr>
          <m:t>&lt;</m:t>
        </m:r>
        <m:r>
          <m:rPr>
            <m:sty m:val="p"/>
          </m:rPr>
          <m:t>,</m:t>
        </m:r>
        <m:r>
          <m:t>10</m:t>
        </m:r>
      </m:oMath>
      <w:r>
        <w:t xml:space="preserve">; *</w:t>
      </w:r>
      <w:r>
        <w:t xml:space="preserve"> </w:t>
      </w:r>
      <m:oMath>
        <m:r>
          <m:t>p</m:t>
        </m:r>
        <m:r>
          <m:rPr>
            <m:sty m:val="p"/>
          </m:rPr>
          <m:t>&lt;</m:t>
        </m:r>
        <m:r>
          <m:rPr>
            <m:sty m:val="p"/>
          </m:rPr>
          <m:t>,</m:t>
        </m:r>
        <m:r>
          <m:t>05</m:t>
        </m:r>
      </m:oMath>
      <w:r>
        <w:t xml:space="preserve">; **</w:t>
      </w:r>
      <w:r>
        <w:t xml:space="preserve"> </w:t>
      </w:r>
      <m:oMath>
        <m:r>
          <m:t>p</m:t>
        </m:r>
        <m:r>
          <m:rPr>
            <m:sty m:val="p"/>
          </m:rPr>
          <m:t>&lt;</m:t>
        </m:r>
        <m:r>
          <m:rPr>
            <m:sty m:val="p"/>
          </m:rPr>
          <m:t>,</m:t>
        </m:r>
        <m:r>
          <m:t>01</m:t>
        </m:r>
      </m:oMath>
      <w:r>
        <w:t xml:space="preserve">; ***</w:t>
      </w:r>
      <w:r>
        <w:t xml:space="preserve"> </w:t>
      </w:r>
      <m:oMath>
        <m:r>
          <m:t>p</m:t>
        </m:r>
        <m:r>
          <m:rPr>
            <m:sty m:val="p"/>
          </m:rPr>
          <m:t>&lt;</m:t>
        </m:r>
        <m:r>
          <m:rPr>
            <m:sty m:val="p"/>
          </m:rPr>
          <m:t>,</m:t>
        </m:r>
        <m:r>
          <m:t>001</m:t>
        </m:r>
      </m:oMath>
      <w:r>
        <w:t xml:space="preserve">. Biến phụ thuộc ở mọi mô hình là năng suất lao động dạng log (cấp doanh nghiệp) hoặc chuẩn hóa z trong từng cặp nền kinh tế × năm (P7, P8); biến giải thích trọng tâm là cường độ xuất khẩu trên doanh thu (FSTS) và bình phương của nó.</w:t>
      </w:r>
    </w:p>
    <w:bookmarkStart w:id="331" w:name="Xa3ea8f5732bbe394cfba2b035a013d7b6a5f26f"/>
    <w:p>
      <w:pPr>
        <w:pStyle w:val="Heading2"/>
      </w:pPr>
      <w:r>
        <w:t xml:space="preserve">C.1 Bảng tổng hợp so sánh tám nghiên cứu thành phần</w:t>
      </w:r>
    </w:p>
    <w:p>
      <w:pPr>
        <w:pStyle w:val="FirstParagraph"/>
      </w:pPr>
      <w:r>
        <w:rPr>
          <w:bCs/>
          <w:b/>
        </w:rPr>
        <w:t xml:space="preserve">Bảng C.1.</w:t>
      </w:r>
      <w:r>
        <w:t xml:space="preserve"> </w:t>
      </w:r>
      <w:r>
        <w:rPr>
          <w:iCs/>
          <w:i/>
        </w:rPr>
        <w:t xml:space="preserve">Kết quả hồi quy chính và điểm uốn của tám nghiên cứu thành phần trên phổ thể chế ICRV.</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Nghiên cứu (bối cảnh, nhóm ICRV)</w:t>
            </w:r>
          </w:p>
        </w:tc>
        <w:tc>
          <w:tcPr/>
          <w:p>
            <w:pPr>
              <w:pStyle w:val="Compact"/>
              <w:jc w:val="right"/>
            </w:pPr>
            <w:r>
              <w:t xml:space="preserve">N</w:t>
            </w:r>
          </w:p>
        </w:tc>
        <w:tc>
          <w:tcPr/>
          <w:p>
            <w:pPr>
              <w:pStyle w:val="Compact"/>
              <w:jc w:val="right"/>
            </w:pPr>
            <m:oMath>
              <m:sSub>
                <m:e>
                  <m:r>
                    <m:t>β</m:t>
                  </m:r>
                </m:e>
                <m:sub>
                  <m:r>
                    <m:t>1</m:t>
                  </m:r>
                </m:sub>
              </m:sSub>
            </m:oMath>
            <w:r>
              <w:t xml:space="preserve"> </w:t>
            </w:r>
            <w:r>
              <w:t xml:space="preserve">(FSTS)</w:t>
            </w:r>
          </w:p>
        </w:tc>
        <w:tc>
          <w:tcPr/>
          <w:p>
            <w:pPr>
              <w:pStyle w:val="Compact"/>
              <w:jc w:val="right"/>
            </w:pPr>
            <m:oMath>
              <m:sSub>
                <m:e>
                  <m:r>
                    <m:t>β</m:t>
                  </m:r>
                </m:e>
                <m:sub>
                  <m:r>
                    <m:t>2</m:t>
                  </m:r>
                </m:sub>
              </m:sSub>
            </m:oMath>
            <w:r>
              <w:t xml:space="preserve"> </w:t>
            </w:r>
            <w:r>
              <w:t xml:space="preserve">(FSTS²)</w:t>
            </w:r>
          </w:p>
        </w:tc>
        <w:tc>
          <w:tcPr/>
          <w:p>
            <w:pPr>
              <w:pStyle w:val="Compact"/>
              <w:jc w:val="right"/>
            </w:pPr>
            <w:r>
              <w:t xml:space="preserve">Điểm uốn</w:t>
            </w:r>
          </w:p>
        </w:tc>
        <w:tc>
          <w:tcPr/>
          <w:p>
            <w:pPr>
              <w:pStyle w:val="Compact"/>
              <w:jc w:val="left"/>
            </w:pPr>
            <w:r>
              <w:t xml:space="preserve">Kiểm định phi tuyến</w:t>
            </w:r>
          </w:p>
        </w:tc>
        <w:tc>
          <w:tcPr/>
          <w:p>
            <w:pPr>
              <w:pStyle w:val="Compact"/>
              <w:jc w:val="left"/>
            </w:pPr>
            <w:r>
              <w:t xml:space="preserve">Phát hiện điều tiết chính</w:t>
            </w:r>
          </w:p>
        </w:tc>
      </w:tr>
      <w:tr>
        <w:tc>
          <w:tcPr/>
          <w:p>
            <w:pPr>
              <w:pStyle w:val="Compact"/>
              <w:jc w:val="left"/>
            </w:pPr>
            <w:r>
              <w:rPr>
                <w:bCs/>
                <w:b/>
              </w:rPr>
              <w:t xml:space="preserve">P3</w:t>
            </w:r>
            <w:r>
              <w:t xml:space="preserve"> </w:t>
            </w:r>
            <w:r>
              <w:t xml:space="preserve">Việt Nam (chuyển đổi TB–thấp, IV)</w:t>
            </w:r>
          </w:p>
        </w:tc>
        <w:tc>
          <w:tcPr/>
          <w:p>
            <w:pPr>
              <w:pStyle w:val="Compact"/>
              <w:jc w:val="right"/>
            </w:pPr>
            <w:r>
              <w:t xml:space="preserve">2.958</w:t>
            </w:r>
          </w:p>
        </w:tc>
        <w:tc>
          <w:tcPr/>
          <w:p>
            <w:pPr>
              <w:pStyle w:val="Compact"/>
              <w:jc w:val="right"/>
            </w:pPr>
            <w:r>
              <w:t xml:space="preserve">+0,984***</w:t>
            </w:r>
          </w:p>
        </w:tc>
        <w:tc>
          <w:tcPr/>
          <w:p>
            <w:pPr>
              <w:pStyle w:val="Compact"/>
              <w:jc w:val="right"/>
            </w:pPr>
            <w:r>
              <w:t xml:space="preserve">−1,909***</w:t>
            </w:r>
          </w:p>
        </w:tc>
        <w:tc>
          <w:tcPr/>
          <w:p>
            <w:pPr>
              <w:pStyle w:val="Compact"/>
              <w:jc w:val="right"/>
            </w:pPr>
            <w:r>
              <w:t xml:space="preserve">39,7% (dải 39,3–46,2)</w:t>
            </w:r>
          </w:p>
        </w:tc>
        <w:tc>
          <w:tcPr/>
          <w:p>
            <w:pPr>
              <w:pStyle w:val="Compact"/>
              <w:jc w:val="left"/>
            </w:pPr>
            <w:r>
              <w:t xml:space="preserve">Lind–Mehlum</w:t>
            </w:r>
            <w:r>
              <w:t xml:space="preserve"> </w:t>
            </w:r>
            <m:oMath>
              <m:r>
                <m:t>p</m:t>
              </m:r>
              <m:r>
                <m:rPr>
                  <m:sty m:val="p"/>
                </m:rPr>
                <m:t>&lt;</m:t>
              </m:r>
              <m:r>
                <m:rPr>
                  <m:sty m:val="p"/>
                </m:rPr>
                <m:t>,</m:t>
              </m:r>
              <m:r>
                <m:t>001</m:t>
              </m:r>
            </m:oMath>
          </w:p>
        </w:tc>
        <w:tc>
          <w:tcPr/>
          <w:p>
            <w:pPr>
              <w:pStyle w:val="Compact"/>
              <w:jc w:val="left"/>
            </w:pPr>
            <w:r>
              <w:t xml:space="preserve">TCI +0,179*** nâng nền và điều tiết (</w:t>
            </w:r>
            <m:oMath>
              <m:r>
                <m:t>p</m:t>
              </m:r>
              <m:r>
                <m:rPr>
                  <m:sty m:val="p"/>
                </m:rPr>
                <m:t>=</m:t>
              </m:r>
              <m:r>
                <m:rPr>
                  <m:sty m:val="p"/>
                </m:rPr>
                <m:t>,</m:t>
              </m:r>
              <m:r>
                <m:t>003</m:t>
              </m:r>
            </m:oMath>
            <w:r>
              <w:t xml:space="preserve">); DAI Bậc 1 không ý nghĩa</w:t>
            </w:r>
          </w:p>
        </w:tc>
      </w:tr>
      <w:tr>
        <w:tc>
          <w:tcPr/>
          <w:p>
            <w:pPr>
              <w:pStyle w:val="Compact"/>
              <w:jc w:val="left"/>
            </w:pPr>
            <w:r>
              <w:rPr>
                <w:bCs/>
                <w:b/>
              </w:rPr>
              <w:t xml:space="preserve">P4</w:t>
            </w:r>
            <w:r>
              <w:t xml:space="preserve"> </w:t>
            </w:r>
            <w:r>
              <w:t xml:space="preserve">Singapore (tiên tiến đổi mới, I)</w:t>
            </w:r>
          </w:p>
        </w:tc>
        <w:tc>
          <w:tcPr/>
          <w:p>
            <w:pPr>
              <w:pStyle w:val="Compact"/>
              <w:jc w:val="right"/>
            </w:pPr>
            <w:r>
              <w:t xml:space="preserve">623</w:t>
            </w:r>
          </w:p>
        </w:tc>
        <w:tc>
          <w:tcPr/>
          <w:p>
            <w:pPr>
              <w:pStyle w:val="Compact"/>
              <w:jc w:val="right"/>
            </w:pPr>
            <w:r>
              <w:t xml:space="preserve">+2,652***</w:t>
            </w:r>
          </w:p>
        </w:tc>
        <w:tc>
          <w:tcPr/>
          <w:p>
            <w:pPr>
              <w:pStyle w:val="Compact"/>
              <w:jc w:val="right"/>
            </w:pPr>
            <w:r>
              <w:t xml:space="preserve">−1,705†</w:t>
            </w:r>
          </w:p>
        </w:tc>
        <w:tc>
          <w:tcPr/>
          <w:p>
            <w:pPr>
              <w:pStyle w:val="Compact"/>
              <w:jc w:val="right"/>
            </w:pPr>
            <w:r>
              <w:t xml:space="preserve">≈88,6% (ngoài miền)</w:t>
            </w:r>
          </w:p>
        </w:tc>
        <w:tc>
          <w:tcPr/>
          <w:p>
            <w:pPr>
              <w:pStyle w:val="Compact"/>
              <w:jc w:val="left"/>
            </w:pPr>
            <w:r>
              <w:t xml:space="preserve">Lind–Mehlum</w:t>
            </w:r>
            <w:r>
              <w:t xml:space="preserve"> </w:t>
            </w:r>
            <m:oMath>
              <m:r>
                <m:t>p</m:t>
              </m:r>
              <m:r>
                <m:rPr>
                  <m:sty m:val="p"/>
                </m:rPr>
                <m:t>=</m:t>
              </m:r>
              <m:r>
                <m:rPr>
                  <m:sty m:val="p"/>
                </m:rPr>
                <m:t>,</m:t>
              </m:r>
              <m:r>
                <m:t>303</m:t>
              </m:r>
            </m:oMath>
            <w:r>
              <w:t xml:space="preserve"> </w:t>
            </w:r>
            <w:r>
              <w:t xml:space="preserve">(null thông tin)</w:t>
            </w:r>
          </w:p>
        </w:tc>
        <w:tc>
          <w:tcPr/>
          <w:p>
            <w:pPr>
              <w:pStyle w:val="Compact"/>
              <w:jc w:val="left"/>
            </w:pPr>
            <w:r>
              <w:t xml:space="preserve">FSTS²×DAI = +3,119** (lá chắn số); TCI +0,153***</w:t>
            </w:r>
          </w:p>
        </w:tc>
      </w:tr>
      <w:tr>
        <w:tc>
          <w:tcPr/>
          <w:p>
            <w:pPr>
              <w:pStyle w:val="Compact"/>
              <w:jc w:val="left"/>
            </w:pPr>
            <w:r>
              <w:rPr>
                <w:bCs/>
                <w:b/>
              </w:rPr>
              <w:t xml:space="preserve">P5</w:t>
            </w:r>
            <w:r>
              <w:t xml:space="preserve"> </w:t>
            </w:r>
            <w:r>
              <w:t xml:space="preserve">Trung Quốc (trung bình cao, III)</w:t>
            </w:r>
          </w:p>
        </w:tc>
        <w:tc>
          <w:tcPr/>
          <w:p>
            <w:pPr>
              <w:pStyle w:val="Compact"/>
              <w:jc w:val="right"/>
            </w:pPr>
            <w:r>
              <w:t xml:space="preserve">4.544</w:t>
            </w:r>
          </w:p>
        </w:tc>
        <w:tc>
          <w:tcPr/>
          <w:p>
            <w:pPr>
              <w:pStyle w:val="Compact"/>
              <w:jc w:val="right"/>
            </w:pPr>
            <w:r>
              <w:t xml:space="preserve">+1,78***</w:t>
            </w:r>
          </w:p>
        </w:tc>
        <w:tc>
          <w:tcPr/>
          <w:p>
            <w:pPr>
              <w:pStyle w:val="Compact"/>
              <w:jc w:val="right"/>
            </w:pPr>
            <w:r>
              <w:t xml:space="preserve">−1,83***</w:t>
            </w:r>
          </w:p>
        </w:tc>
        <w:tc>
          <w:tcPr/>
          <w:p>
            <w:pPr>
              <w:pStyle w:val="Compact"/>
              <w:jc w:val="right"/>
            </w:pPr>
            <w:r>
              <w:t xml:space="preserve">48,78% (49,37→47,19)</w:t>
            </w:r>
          </w:p>
        </w:tc>
        <w:tc>
          <w:tcPr/>
          <w:p>
            <w:pPr>
              <w:pStyle w:val="Compact"/>
              <w:jc w:val="left"/>
            </w:pPr>
            <w:r>
              <w:t xml:space="preserve">Lind–Mehlum</w:t>
            </w:r>
            <w:r>
              <w:t xml:space="preserve"> </w:t>
            </w:r>
            <m:oMath>
              <m:r>
                <m:t>p</m:t>
              </m:r>
              <m:r>
                <m:rPr>
                  <m:sty m:val="p"/>
                </m:rPr>
                <m:t>&lt;</m:t>
              </m:r>
              <m:r>
                <m:rPr>
                  <m:sty m:val="p"/>
                </m:rPr>
                <m:t>,</m:t>
              </m:r>
              <m:r>
                <m:t>001</m:t>
              </m:r>
            </m:oMath>
          </w:p>
        </w:tc>
        <w:tc>
          <w:tcPr/>
          <w:p>
            <w:pPr>
              <w:pStyle w:val="Compact"/>
              <w:jc w:val="left"/>
            </w:pPr>
            <w:r>
              <w:t xml:space="preserve">Điểm uốn ổn định theo thời gian (Paternoster</w:t>
            </w:r>
            <w:r>
              <w:t xml:space="preserve"> </w:t>
            </w:r>
            <m:oMath>
              <m:r>
                <m:t>p</m:t>
              </m:r>
              <m:r>
                <m:rPr>
                  <m:sty m:val="p"/>
                </m:rPr>
                <m:t>=</m:t>
              </m:r>
              <m:r>
                <m:rPr>
                  <m:sty m:val="p"/>
                </m:rPr>
                <m:t>,</m:t>
              </m:r>
              <m:r>
                <m:t>545</m:t>
              </m:r>
            </m:oMath>
            <w:r>
              <w:t xml:space="preserve">); TCI z +0,380***</w:t>
            </w:r>
          </w:p>
        </w:tc>
      </w:tr>
      <w:tr>
        <w:tc>
          <w:tcPr/>
          <w:p>
            <w:pPr>
              <w:pStyle w:val="Compact"/>
              <w:jc w:val="left"/>
            </w:pPr>
            <w:r>
              <w:rPr>
                <w:bCs/>
                <w:b/>
              </w:rPr>
              <w:t xml:space="preserve">P6</w:t>
            </w:r>
            <w:r>
              <w:t xml:space="preserve"> </w:t>
            </w:r>
            <w:r>
              <w:t xml:space="preserve">Phân tích tổng hợp ba tầng</w:t>
            </w:r>
          </w:p>
        </w:tc>
        <w:tc>
          <w:tcPr/>
          <w:p>
            <w:pPr>
              <w:pStyle w:val="Compact"/>
              <w:jc w:val="right"/>
            </w:pPr>
            <w:r>
              <w:t xml:space="preserve">k=238 (K=288)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left"/>
            </w:pP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tc>
        <w:tc>
          <w:tcPr/>
          <w:p>
            <w:pPr>
              <w:pStyle w:val="Compact"/>
              <w:jc w:val="left"/>
            </w:pP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lệch lạc Begg</w:t>
            </w:r>
            <w:r>
              <w:t xml:space="preserve"> </w:t>
            </w:r>
            <m:oMath>
              <m:r>
                <m:t>τ</m:t>
              </m:r>
              <m:r>
                <m:rPr>
                  <m:sty m:val="p"/>
                </m:rPr>
                <m:t>=</m:t>
              </m:r>
              <m:r>
                <m:rPr>
                  <m:sty m:val="p"/>
                </m:rPr>
                <m:t>−</m:t>
              </m:r>
              <m:r>
                <m:t>0</m:t>
              </m:r>
              <m:r>
                <m:rPr>
                  <m:sty m:val="p"/>
                </m:rPr>
                <m:t>,</m:t>
              </m:r>
              <m:r>
                <m:t>132</m:t>
              </m:r>
            </m:oMath>
            <w:r>
              <w:t xml:space="preserve">** →</w:t>
            </w:r>
            <w:r>
              <w:t xml:space="preserve"> </w:t>
            </w:r>
            <m:oMath>
              <m:sSub>
                <m:e>
                  <m:acc>
                    <m:accPr>
                      <m:chr m:val="‾"/>
                    </m:accPr>
                    <m:e>
                      <m:r>
                        <m:t>r</m:t>
                      </m:r>
                    </m:e>
                  </m:acc>
                </m:e>
                <m:sub>
                  <m:r>
                    <m:rPr>
                      <m:nor/>
                      <m:sty m:val="p"/>
                    </m:rPr>
                    <m:t>adj</m:t>
                  </m:r>
                </m:sub>
              </m:sSub>
              <m:r>
                <m:rPr>
                  <m:sty m:val="p"/>
                </m:rPr>
                <m:t>=</m:t>
              </m:r>
              <m:r>
                <m:t>0</m:t>
              </m:r>
              <m:r>
                <m:rPr>
                  <m:sty m:val="p"/>
                </m:rPr>
                <m:t>,</m:t>
              </m:r>
              <m:r>
                <m:t>035</m:t>
              </m:r>
            </m:oMath>
          </w:p>
        </w:tc>
      </w:tr>
      <w:tr>
        <w:tc>
          <w:tcPr/>
          <w:p>
            <w:pPr>
              <w:pStyle w:val="Compact"/>
              <w:jc w:val="left"/>
            </w:pPr>
            <w:r>
              <w:rPr>
                <w:bCs/>
                <w:b/>
              </w:rPr>
              <w:t xml:space="preserve">P7</w:t>
            </w:r>
            <w:r>
              <w:t xml:space="preserve"> </w:t>
            </w:r>
            <w:r>
              <w:t xml:space="preserve">50 nền kinh tế (toàn phổ I–VI)</w:t>
            </w:r>
          </w:p>
        </w:tc>
        <w:tc>
          <w:tcPr/>
          <w:p>
            <w:pPr>
              <w:pStyle w:val="Compact"/>
              <w:jc w:val="right"/>
            </w:pPr>
            <w:r>
              <w:t xml:space="preserve">81.022 / 79.080</w:t>
            </w:r>
          </w:p>
        </w:tc>
        <w:tc>
          <w:tcPr/>
          <w:p>
            <w:pPr>
              <w:pStyle w:val="Compact"/>
              <w:jc w:val="right"/>
            </w:pPr>
            <w:r>
              <w:t xml:space="preserve">+0,500***</w:t>
            </w:r>
          </w:p>
        </w:tc>
        <w:tc>
          <w:tcPr/>
          <w:p>
            <w:pPr>
              <w:pStyle w:val="Compact"/>
              <w:jc w:val="right"/>
            </w:pPr>
            <w:r>
              <w:t xml:space="preserve">−0,721***</w:t>
            </w:r>
          </w:p>
        </w:tc>
        <w:tc>
          <w:tcPr/>
          <w:p>
            <w:pPr>
              <w:pStyle w:val="Compact"/>
              <w:jc w:val="right"/>
            </w:pPr>
            <w:r>
              <w:t xml:space="preserve">43,6% (M2: 51,5%)</w:t>
            </w:r>
          </w:p>
        </w:tc>
        <w:tc>
          <w:tcPr/>
          <w:p>
            <w:pPr>
              <w:pStyle w:val="Compact"/>
              <w:jc w:val="left"/>
            </w:pPr>
            <w:r>
              <w:t xml:space="preserve">Lind–Mehlum</w:t>
            </w:r>
            <w:r>
              <w:t xml:space="preserve"> </w:t>
            </w:r>
            <m:oMath>
              <m:r>
                <m:t>p</m:t>
              </m:r>
              <m:r>
                <m:rPr>
                  <m:sty m:val="p"/>
                </m:rPr>
                <m:t>&lt;</m:t>
              </m:r>
              <m:r>
                <m:rPr>
                  <m:sty m:val="p"/>
                </m:rPr>
                <m:t>,</m:t>
              </m:r>
              <m:r>
                <m:t>001</m:t>
              </m:r>
            </m:oMath>
          </w:p>
        </w:tc>
        <w:tc>
          <w:tcPr/>
          <w:p>
            <w:pPr>
              <w:pStyle w:val="Compact"/>
              <w:jc w:val="left"/>
            </w:pPr>
            <w:r>
              <w:t xml:space="preserve">TCI +0,141***, DAI +0,201*** nâng nền; điều tiết độ cong không ý nghĩa toàn mẫu</w:t>
            </w:r>
          </w:p>
        </w:tc>
      </w:tr>
      <w:tr>
        <w:tc>
          <w:tcPr/>
          <w:p>
            <w:pPr>
              <w:pStyle w:val="Compact"/>
              <w:jc w:val="left"/>
            </w:pPr>
            <w:r>
              <w:rPr>
                <w:bCs/>
                <w:b/>
              </w:rPr>
              <w:t xml:space="preserve">P8</w:t>
            </w:r>
            <w:r>
              <w:t xml:space="preserve"> </w:t>
            </w:r>
            <w:r>
              <w:t xml:space="preserve">SIDS Thái Bình Dương (biên, VI)</w:t>
            </w:r>
          </w:p>
        </w:tc>
        <w:tc>
          <w:tcPr/>
          <w:p>
            <w:pPr>
              <w:pStyle w:val="Compact"/>
              <w:jc w:val="right"/>
            </w:pPr>
            <w:r>
              <w:t xml:space="preserve">1.450</w:t>
            </w:r>
          </w:p>
        </w:tc>
        <w:tc>
          <w:tcPr/>
          <w:p>
            <w:pPr>
              <w:pStyle w:val="Compact"/>
              <w:jc w:val="right"/>
            </w:pPr>
            <w:r>
              <w:t xml:space="preserve">−0,085 (n.s.)</w:t>
            </w:r>
          </w:p>
        </w:tc>
        <w:tc>
          <w:tcPr/>
          <w:p>
            <w:pPr>
              <w:pStyle w:val="Compact"/>
              <w:jc w:val="right"/>
            </w:pPr>
            <w:r>
              <w:t xml:space="preserve">+0,696†</w:t>
            </w:r>
          </w:p>
        </w:tc>
        <w:tc>
          <w:tcPr/>
          <w:p>
            <w:pPr>
              <w:pStyle w:val="Compact"/>
              <w:jc w:val="right"/>
            </w:pPr>
            <w:r>
              <w:t xml:space="preserve">— (mất cấu trúc)</w:t>
            </w:r>
          </w:p>
        </w:tc>
        <w:tc>
          <w:tcPr/>
          <w:p>
            <w:pPr>
              <w:pStyle w:val="Compact"/>
              <w:jc w:val="left"/>
            </w:pPr>
            <w:r>
              <w:t xml:space="preserve">Điều kiện Lind–Mehlum không thỏa</w:t>
            </w:r>
          </w:p>
        </w:tc>
        <w:tc>
          <w:tcPr/>
          <w:p>
            <w:pPr>
              <w:pStyle w:val="Compact"/>
              <w:jc w:val="left"/>
            </w:pPr>
            <w:r>
              <w:t xml:space="preserve">FIP/H1b (thăm dò); bản ba cụm</w:t>
            </w:r>
            <w:r>
              <w:t xml:space="preserve"> </w:t>
            </w:r>
            <m:oMath>
              <m:r>
                <m:t>β</m:t>
              </m:r>
              <m:r>
                <m:rPr>
                  <m:sty m:val="p"/>
                </m:rPr>
                <m:t>=</m:t>
              </m:r>
              <m:r>
                <m:rPr>
                  <m:sty m:val="p"/>
                </m:rPr>
                <m:t>−</m:t>
              </m:r>
              <m:r>
                <m:t>1</m:t>
              </m:r>
              <m:r>
                <m:rPr>
                  <m:sty m:val="p"/>
                </m:rPr>
                <m:t>,</m:t>
              </m:r>
              <m:r>
                <m:t>339</m:t>
              </m:r>
            </m:oMath>
            <w:r>
              <w:t xml:space="preserve">***; TCI +0,299** không cứu đường cong</w:t>
            </w:r>
          </w:p>
        </w:tc>
      </w:tr>
      <w:tr>
        <w:tc>
          <w:tcPr/>
          <w:p>
            <w:pPr>
              <w:pStyle w:val="Compact"/>
              <w:jc w:val="left"/>
            </w:pPr>
            <w:r>
              <w:rPr>
                <w:bCs/>
                <w:b/>
              </w:rPr>
              <w:t xml:space="preserve">P9</w:t>
            </w:r>
            <w:r>
              <w:t xml:space="preserve"> </w:t>
            </w:r>
            <w:r>
              <w:t xml:space="preserve">Ấn Độ (biến động thể chế, IV)</w:t>
            </w:r>
          </w:p>
        </w:tc>
        <w:tc>
          <w:tcPr/>
          <w:p>
            <w:pPr>
              <w:pStyle w:val="Compact"/>
              <w:jc w:val="right"/>
            </w:pPr>
            <w:r>
              <w:t xml:space="preserve">28.717</w:t>
            </w:r>
          </w:p>
        </w:tc>
        <w:tc>
          <w:tcPr/>
          <w:p>
            <w:pPr>
              <w:pStyle w:val="Compact"/>
              <w:jc w:val="right"/>
            </w:pPr>
            <w:r>
              <w:t xml:space="preserve">+1,865*** → +1,542*** → n.s.</w:t>
            </w:r>
          </w:p>
        </w:tc>
        <w:tc>
          <w:tcPr/>
          <w:p>
            <w:pPr>
              <w:pStyle w:val="Compact"/>
              <w:jc w:val="right"/>
            </w:pPr>
            <w:r>
              <w:t xml:space="preserve">−1,508*** → −1,893*** → −0,160</w:t>
            </w:r>
          </w:p>
        </w:tc>
        <w:tc>
          <w:tcPr/>
          <w:p>
            <w:pPr>
              <w:pStyle w:val="Compact"/>
              <w:jc w:val="right"/>
            </w:pPr>
            <w:r>
              <w:t xml:space="preserve">61,8 → 40,7 → sụp đổ</w:t>
            </w:r>
          </w:p>
        </w:tc>
        <w:tc>
          <w:tcPr/>
          <w:p>
            <w:pPr>
              <w:pStyle w:val="Compact"/>
              <w:jc w:val="left"/>
            </w:pPr>
            <w:r>
              <w:t xml:space="preserve">LM</w:t>
            </w:r>
            <w:r>
              <w:t xml:space="preserve"> </w:t>
            </w:r>
            <m:oMath>
              <m:r>
                <m:t>p</m:t>
              </m:r>
              <m:r>
                <m:rPr>
                  <m:sty m:val="p"/>
                </m:rPr>
                <m:t>&lt;</m:t>
              </m:r>
              <m:r>
                <m:rPr>
                  <m:sty m:val="p"/>
                </m:rPr>
                <m:t>,</m:t>
              </m:r>
              <m:r>
                <m:t>001</m:t>
              </m:r>
            </m:oMath>
            <w:r>
              <w:t xml:space="preserve"> </w:t>
            </w:r>
            <w:r>
              <w:t xml:space="preserve">(2014/2022);</w:t>
            </w:r>
            <w:r>
              <w:t xml:space="preserve"> </w:t>
            </w:r>
            <m:oMath>
              <m:r>
                <m:t>p</m:t>
              </m:r>
              <m:r>
                <m:rPr>
                  <m:sty m:val="p"/>
                </m:rPr>
                <m:t>=</m:t>
              </m:r>
              <m:r>
                <m:rPr>
                  <m:sty m:val="p"/>
                </m:rPr>
                <m:t>,</m:t>
              </m:r>
              <m:r>
                <m:t>99</m:t>
              </m:r>
            </m:oMath>
            <w:r>
              <w:t xml:space="preserve"> </w:t>
            </w:r>
            <w:r>
              <w:t xml:space="preserve">(2025)</w:t>
            </w:r>
          </w:p>
        </w:tc>
        <w:tc>
          <w:tcPr/>
          <w:p>
            <w:pPr>
              <w:pStyle w:val="Compact"/>
              <w:jc w:val="left"/>
            </w:pPr>
            <w:r>
              <w:t xml:space="preserve">Tan biến ngưỡng; Paternoster</w:t>
            </w:r>
            <w:r>
              <w:t xml:space="preserve"> </w:t>
            </w:r>
            <m:oMath>
              <m:r>
                <m:t>z</m:t>
              </m:r>
              <m:r>
                <m:rPr>
                  <m:sty m:val="p"/>
                </m:rPr>
                <m:t>=</m:t>
              </m:r>
              <m:r>
                <m:rPr>
                  <m:sty m:val="p"/>
                </m:rPr>
                <m:t>−</m:t>
              </m:r>
              <m:r>
                <m:t>7</m:t>
              </m:r>
              <m:r>
                <m:rPr>
                  <m:sty m:val="p"/>
                </m:rPr>
                <m:t>,</m:t>
              </m:r>
              <m:r>
                <m:t>94</m:t>
              </m:r>
            </m:oMath>
            <w:r>
              <w:t xml:space="preserve">***; DAI Bậc 2×FSTS = −4,02**</w:t>
            </w:r>
          </w:p>
        </w:tc>
      </w:tr>
      <w:tr>
        <w:tc>
          <w:tcPr/>
          <w:p>
            <w:pPr>
              <w:pStyle w:val="Compact"/>
              <w:jc w:val="left"/>
            </w:pPr>
            <w:r>
              <w:rPr>
                <w:bCs/>
                <w:b/>
              </w:rPr>
              <w:t xml:space="preserve">P10</w:t>
            </w:r>
            <w:r>
              <w:t xml:space="preserve"> </w:t>
            </w:r>
            <w:r>
              <w:t xml:space="preserve">Nhật Bản (biên trên, I)</w:t>
            </w:r>
          </w:p>
        </w:tc>
        <w:tc>
          <w:tcPr/>
          <w:p>
            <w:pPr>
              <w:pStyle w:val="Compact"/>
              <w:jc w:val="right"/>
            </w:pPr>
            <w:r>
              <w:t xml:space="preserve">2.168</w:t>
            </w:r>
          </w:p>
        </w:tc>
        <w:tc>
          <w:tcPr/>
          <w:p>
            <w:pPr>
              <w:pStyle w:val="Compact"/>
              <w:jc w:val="right"/>
            </w:pPr>
            <w:r>
              <w:t xml:space="preserve">+0,671*** (tuyến tính)</w:t>
            </w:r>
          </w:p>
        </w:tc>
        <w:tc>
          <w:tcPr/>
          <w:p>
            <w:pPr>
              <w:pStyle w:val="Compact"/>
              <w:jc w:val="right"/>
            </w:pPr>
            <w:r>
              <w:t xml:space="preserve">không ý nghĩa</w:t>
            </w:r>
          </w:p>
        </w:tc>
        <w:tc>
          <w:tcPr/>
          <w:p>
            <w:pPr>
              <w:pStyle w:val="Compact"/>
              <w:jc w:val="right"/>
            </w:pPr>
            <w:r>
              <w:t xml:space="preserve">90–108% (ngoài miền)</w:t>
            </w:r>
          </w:p>
        </w:tc>
        <w:tc>
          <w:tcPr/>
          <w:p>
            <w:pPr>
              <w:pStyle w:val="Compact"/>
              <w:jc w:val="left"/>
            </w:pPr>
            <w:r>
              <w:t xml:space="preserve">Gần tuyến tính dương</w:t>
            </w:r>
          </w:p>
        </w:tc>
        <w:tc>
          <w:tcPr/>
          <w:p>
            <w:pPr>
              <w:pStyle w:val="Compact"/>
              <w:jc w:val="left"/>
            </w:pPr>
            <w:r>
              <w:t xml:space="preserve">TCI +0,100***, DAI +0,110* nâng nền; phần bù trường thọ +0,073**</w:t>
            </w:r>
          </w:p>
        </w:tc>
      </w:tr>
    </w:tbl>
    <w:p>
      <w:pPr>
        <w:pStyle w:val="BodyText"/>
      </w:pPr>
      <w:r>
        <w:rPr>
          <w:iCs/>
          <w:i/>
        </w:rPr>
        <w:t xml:space="preserve">Nguồn: tổng hợp từ Chương 4 (P6: Mục 4.2; P4: Mục 4.3; P5: Mục 4.4; P3: Mục 4.5; P7: Mục 4.6; P8: Mục 4.7; P9: Mục 4.8; P10: Mục 4.1.5 và Mục 4.9). Với P5, P9, P10 cột</w:t>
      </w:r>
      <w:r>
        <w:rPr>
          <w:iCs/>
          <w:i/>
        </w:rPr>
        <w:t xml:space="preserve"> </w:t>
      </w:r>
      <m:oMath>
        <m:r>
          <m:t>β</m:t>
        </m:r>
      </m:oMath>
      <w:r>
        <w:rPr>
          <w:iCs/>
          <w:i/>
        </w:rPr>
        <w:t xml:space="preserve"> </w:t>
      </w:r>
      <w:r>
        <w:rPr>
          <w:iCs/>
          <w:i/>
        </w:rPr>
        <w:t xml:space="preserve">trình bày mẫu gộp hoặc đợt đại diện; với P9 trình bày diễn tiến ba đợt 2014→2022→2025. P8: cột</w:t>
      </w:r>
      <w:r>
        <w:rPr>
          <w:iCs/>
          <w:i/>
        </w:rPr>
        <w:t xml:space="preserve"> </w:t>
      </w:r>
      <m:oMath>
        <m:r>
          <m:t>β</m:t>
        </m:r>
      </m:oMath>
      <w:r>
        <w:rPr>
          <w:iCs/>
          <w:i/>
        </w:rPr>
        <w:t xml:space="preserve"> </w:t>
      </w:r>
      <w:r>
        <w:rPr>
          <w:iCs/>
          <w:i/>
        </w:rPr>
        <w:t xml:space="preserve">là mô hình tuyến tính trên mẫu đầy đủ bảy nền; hệ số −1,339 là bản dựng ba cụm minh họa, nhạy cảm với phiên bản dữ liệu (xem Mục 4.7.8). Điểm uốn trong ngoặc/ghi</w:t>
      </w:r>
      <w:r>
        <w:rPr>
          <w:iCs/>
          <w:i/>
        </w:rPr>
        <w:t xml:space="preserve"> </w:t>
      </w:r>
      <w:r>
        <w:rPr>
          <w:iCs/>
          <w:i/>
        </w:rPr>
        <w:t xml:space="preserve">“</w:t>
      </w:r>
      <w:r>
        <w:rPr>
          <w:iCs/>
          <w:i/>
        </w:rPr>
        <w:t xml:space="preserve">ngoài miền</w:t>
      </w:r>
      <w:r>
        <w:rPr>
          <w:iCs/>
          <w:i/>
        </w:rPr>
        <w:t xml:space="preserve">”</w:t>
      </w:r>
      <w:r>
        <w:rPr>
          <w:iCs/>
          <w:i/>
        </w:rPr>
        <w:t xml:space="preserve"> </w:t>
      </w:r>
      <w:r>
        <w:rPr>
          <w:iCs/>
          <w:i/>
        </w:rPr>
        <w:t xml:space="preserve">là giá trị đại số không định vị tin cậy trong miền dữ liệu quan sát.</w:t>
      </w:r>
    </w:p>
    <w:bookmarkEnd w:id="331"/>
    <w:bookmarkStart w:id="332" w:name="X41592a7a2eb1677266db9959ab20eb5df36ceb0"/>
    <w:p>
      <w:pPr>
        <w:pStyle w:val="Heading2"/>
      </w:pPr>
      <w:r>
        <w:t xml:space="preserve">C.2 Chi tiết phân tích tổng hợp ba tầng (P6)</w:t>
      </w:r>
    </w:p>
    <w:p>
      <w:pPr>
        <w:pStyle w:val="FirstParagraph"/>
      </w:pPr>
      <w:r>
        <w:rPr>
          <w:bCs/>
          <w:b/>
        </w:rPr>
        <w:t xml:space="preserve">Bảng C.2.</w:t>
      </w:r>
      <w:r>
        <w:t xml:space="preserve"> </w:t>
      </w:r>
      <w:r>
        <w:rPr>
          <w:iCs/>
          <w:i/>
        </w:rPr>
        <w:t xml:space="preserve">Hiệu ứng gộp, phân rã dị biệt, điều tiết và lệch lạc công bố của P6 (k=238, K=288 cỡ ảnh hưởng).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Hạng mục</w:t>
            </w:r>
          </w:p>
        </w:tc>
        <w:tc>
          <w:tcPr/>
          <w:p>
            <w:pPr>
              <w:pStyle w:val="Compact"/>
              <w:jc w:val="right"/>
            </w:pPr>
            <w:r>
              <w:t xml:space="preserve">Giá trị</w:t>
            </w:r>
          </w:p>
        </w:tc>
        <w:tc>
          <w:tcPr/>
          <w:p>
            <w:pPr>
              <w:pStyle w:val="Compact"/>
              <w:jc w:val="left"/>
            </w:pPr>
            <w:r>
              <w:t xml:space="preserve">Ghi chú</w:t>
            </w:r>
          </w:p>
        </w:tc>
      </w:tr>
      <w:tr>
        <w:tc>
          <w:tcPr/>
          <w:p>
            <w:pPr>
              <w:pStyle w:val="Compact"/>
              <w:jc w:val="left"/>
            </w:pPr>
            <w:r>
              <w:t xml:space="preserve">Hiệu ứng gộp</w:t>
            </w:r>
            <w:r>
              <w:t xml:space="preserve"> </w:t>
            </w:r>
            <m:oMath>
              <m:acc>
                <m:accPr>
                  <m:chr m:val="‾"/>
                </m:accPr>
                <m:e>
                  <m:r>
                    <m:t>r</m:t>
                  </m:r>
                </m:e>
              </m:acc>
            </m:oMath>
          </w:p>
        </w:tc>
        <w:tc>
          <w:tcPr/>
          <w:p>
            <w:pPr>
              <w:pStyle w:val="Compact"/>
              <w:jc w:val="right"/>
            </w:pPr>
            <w:r>
              <w:t xml:space="preserve">0,074</w:t>
            </w:r>
          </w:p>
        </w:tc>
        <w:tc>
          <w:tcPr/>
          <w:p>
            <w:pPr>
              <w:pStyle w:val="Compact"/>
              <w:jc w:val="left"/>
            </w:pPr>
            <w:r>
              <w:t xml:space="preserve">Khoảng tin cậy 95% dương, có ý nghĩa</w:t>
            </w:r>
          </w:p>
        </w:tc>
      </w:tr>
      <w:tr>
        <w:tc>
          <w:tcPr/>
          <w:p>
            <w:pPr>
              <w:pStyle w:val="Compact"/>
              <w:jc w:val="left"/>
            </w:pPr>
            <w:r>
              <w:t xml:space="preserve">Dị biệt tổng</w:t>
            </w:r>
            <w:r>
              <w:t xml:space="preserve"> </w:t>
            </w:r>
            <m:oMath>
              <m:sSup>
                <m:e>
                  <m:r>
                    <m:t>I</m:t>
                  </m:r>
                </m:e>
                <m:sup>
                  <m:r>
                    <m:t>2</m:t>
                  </m:r>
                </m:sup>
              </m:sSup>
            </m:oMath>
          </w:p>
        </w:tc>
        <w:tc>
          <w:tcPr/>
          <w:p>
            <w:pPr>
              <w:pStyle w:val="Compact"/>
              <w:jc w:val="right"/>
            </w:pPr>
            <w:r>
              <w:t xml:space="preserve">62,4%</w:t>
            </w:r>
          </w:p>
        </w:tc>
        <w:tc>
          <w:tcPr/>
          <w:p>
            <w:pPr>
              <w:pStyle w:val="Compact"/>
            </w:pPr>
          </w:p>
        </w:tc>
      </w:tr>
      <w:tr>
        <w:tc>
          <w:tcPr/>
          <w:p>
            <w:pPr>
              <w:pStyle w:val="Compact"/>
              <w:jc w:val="left"/>
            </w:pPr>
            <m:oMath>
              <m:sSup>
                <m:e>
                  <m:r>
                    <m:t>I</m:t>
                  </m:r>
                </m:e>
                <m:sup>
                  <m:r>
                    <m:t>2</m:t>
                  </m:r>
                </m:sup>
              </m:sSup>
            </m:oMath>
            <w:r>
              <w:t xml:space="preserve"> </w:t>
            </w:r>
            <w:r>
              <w:t xml:space="preserve">Tầng 2 (trong nghiên cứu)</w:t>
            </w:r>
          </w:p>
        </w:tc>
        <w:tc>
          <w:tcPr/>
          <w:p>
            <w:pPr>
              <w:pStyle w:val="Compact"/>
              <w:jc w:val="right"/>
            </w:pPr>
            <w:r>
              <w:t xml:space="preserve">54,1%</w:t>
            </w:r>
          </w:p>
        </w:tc>
        <w:tc>
          <w:tcPr/>
          <w:p>
            <w:pPr>
              <w:pStyle w:val="Compact"/>
              <w:jc w:val="left"/>
            </w:pPr>
            <w:r>
              <w:t xml:space="preserve">Nguồn dị biệt chủ đạo</w:t>
            </w:r>
          </w:p>
        </w:tc>
      </w:tr>
      <w:tr>
        <w:tc>
          <w:tcPr/>
          <w:p>
            <w:pPr>
              <w:pStyle w:val="Compact"/>
              <w:jc w:val="left"/>
            </w:pPr>
            <m:oMath>
              <m:sSup>
                <m:e>
                  <m:r>
                    <m:t>I</m:t>
                  </m:r>
                </m:e>
                <m:sup>
                  <m:r>
                    <m:t>2</m:t>
                  </m:r>
                </m:sup>
              </m:sSup>
            </m:oMath>
            <w:r>
              <w:t xml:space="preserve"> </w:t>
            </w:r>
            <w:r>
              <w:t xml:space="preserve">Tầng 3 (giữa nghiên cứu)</w:t>
            </w:r>
          </w:p>
        </w:tc>
        <w:tc>
          <w:tcPr/>
          <w:p>
            <w:pPr>
              <w:pStyle w:val="Compact"/>
              <w:jc w:val="right"/>
            </w:pPr>
            <w:r>
              <w:t xml:space="preserve">8,4%</w:t>
            </w:r>
          </w:p>
        </w:tc>
        <w:tc>
          <w:tcPr/>
          <w:p>
            <w:pPr>
              <w:pStyle w:val="Compact"/>
            </w:pPr>
          </w:p>
        </w:tc>
      </w:tr>
      <w:tr>
        <w:tc>
          <w:tcPr/>
          <w:p>
            <w:pPr>
              <w:pStyle w:val="Compact"/>
              <w:jc w:val="left"/>
            </w:pPr>
            <w:r>
              <w:t xml:space="preserve">Điều tiết chế độ thể chế ICRV</w:t>
            </w:r>
          </w:p>
        </w:tc>
        <w:tc>
          <w:tcPr/>
          <w:p>
            <w:pPr>
              <w:pStyle w:val="Compact"/>
              <w:jc w:val="right"/>
            </w:pP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tc>
        <w:tc>
          <w:tcPr/>
          <w:p>
            <w:pPr>
              <w:pStyle w:val="Compact"/>
              <w:jc w:val="left"/>
            </w:pPr>
            <w:r>
              <w:t xml:space="preserve">Thể chế là điều tiết có ý nghĩa</w:t>
            </w:r>
          </w:p>
        </w:tc>
      </w:tr>
      <w:tr>
        <w:tc>
          <w:tcPr/>
          <w:p>
            <w:pPr>
              <w:pStyle w:val="Compact"/>
              <w:jc w:val="left"/>
            </w:pPr>
            <w:r>
              <w:t xml:space="preserve">Điều tiết chấp nhận số ngữ cảnh</w:t>
            </w:r>
          </w:p>
        </w:tc>
        <w:tc>
          <w:tcPr/>
          <w:p>
            <w:pPr>
              <w:pStyle w:val="Compact"/>
              <w:jc w:val="right"/>
            </w:pPr>
            <m:oMath>
              <m:sSub>
                <m:e>
                  <m:r>
                    <m:t>Q</m:t>
                  </m:r>
                </m:e>
                <m:sub>
                  <m:r>
                    <m:t>M</m:t>
                  </m:r>
                </m:sub>
              </m:sSub>
              <m:r>
                <m:rPr>
                  <m:sty m:val="p"/>
                </m:rPr>
                <m:t>=</m:t>
              </m:r>
              <m:r>
                <m:t>1</m:t>
              </m:r>
              <m:r>
                <m:rPr>
                  <m:sty m:val="p"/>
                </m:rPr>
                <m:t>,</m:t>
              </m:r>
              <m:r>
                <m:t>23</m:t>
              </m:r>
            </m:oMath>
            <w:r>
              <w:t xml:space="preserve"> </w:t>
            </w:r>
            <w:r>
              <w:t xml:space="preserve">(</w:t>
            </w:r>
            <m:oMath>
              <m:r>
                <m:t>p</m:t>
              </m:r>
              <m:r>
                <m:rPr>
                  <m:sty m:val="p"/>
                </m:rPr>
                <m:t>=</m:t>
              </m:r>
              <m:r>
                <m:rPr>
                  <m:sty m:val="p"/>
                </m:rPr>
                <m:t>,</m:t>
              </m:r>
              <m:r>
                <m:t>541</m:t>
              </m:r>
            </m:oMath>
            <w:r>
              <w:t xml:space="preserve">)</w:t>
            </w:r>
          </w:p>
        </w:tc>
        <w:tc>
          <w:tcPr/>
          <w:p>
            <w:pPr>
              <w:pStyle w:val="Compact"/>
              <w:jc w:val="left"/>
            </w:pPr>
            <w:r>
              <w:t xml:space="preserve">Không ý nghĩa</w:t>
            </w:r>
          </w:p>
        </w:tc>
      </w:tr>
      <w:tr>
        <w:tc>
          <w:tcPr/>
          <w:p>
            <w:pPr>
              <w:pStyle w:val="Compact"/>
              <w:jc w:val="left"/>
            </w:pPr>
            <w:r>
              <w:t xml:space="preserve">Điều tiết pha số hóa</w:t>
            </w:r>
          </w:p>
        </w:tc>
        <w:tc>
          <w:tcPr/>
          <w:p>
            <w:pPr>
              <w:pStyle w:val="Compact"/>
              <w:jc w:val="right"/>
            </w:pPr>
            <m:oMath>
              <m:sSub>
                <m:e>
                  <m:r>
                    <m:t>Q</m:t>
                  </m:r>
                </m:e>
                <m:sub>
                  <m:r>
                    <m:t>M</m:t>
                  </m:r>
                </m:sub>
              </m:sSub>
              <m:r>
                <m:rPr>
                  <m:sty m:val="p"/>
                </m:rPr>
                <m:t>=</m:t>
              </m:r>
              <m:r>
                <m:t>0</m:t>
              </m:r>
              <m:r>
                <m:rPr>
                  <m:sty m:val="p"/>
                </m:rPr>
                <m:t>,</m:t>
              </m:r>
              <m:r>
                <m:t>56</m:t>
              </m:r>
            </m:oMath>
            <w:r>
              <w:t xml:space="preserve"> </w:t>
            </w:r>
            <w:r>
              <w:t xml:space="preserve">(</w:t>
            </w:r>
            <m:oMath>
              <m:r>
                <m:t>p</m:t>
              </m:r>
              <m:r>
                <m:rPr>
                  <m:sty m:val="p"/>
                </m:rPr>
                <m:t>=</m:t>
              </m:r>
              <m:r>
                <m:rPr>
                  <m:sty m:val="p"/>
                </m:rPr>
                <m:t>,</m:t>
              </m:r>
              <m:r>
                <m:t>755</m:t>
              </m:r>
            </m:oMath>
            <w:r>
              <w:t xml:space="preserve">)</w:t>
            </w:r>
          </w:p>
        </w:tc>
        <w:tc>
          <w:tcPr/>
          <w:p>
            <w:pPr>
              <w:pStyle w:val="Compact"/>
              <w:jc w:val="left"/>
            </w:pPr>
            <w:r>
              <w:t xml:space="preserve">Không ý nghĩa</w:t>
            </w:r>
          </w:p>
        </w:tc>
      </w:tr>
      <w:tr>
        <w:tc>
          <w:tcPr/>
          <w:p>
            <w:pPr>
              <w:pStyle w:val="Compact"/>
              <w:jc w:val="left"/>
            </w:pPr>
            <w:r>
              <w:t xml:space="preserve">Lệch lạc công bố — Begg–Mazumdar</w:t>
            </w:r>
          </w:p>
        </w:tc>
        <w:tc>
          <w:tcPr/>
          <w:p>
            <w:pPr>
              <w:pStyle w:val="Compact"/>
              <w:jc w:val="right"/>
            </w:pPr>
            <m:oMath>
              <m:r>
                <m:t>τ</m:t>
              </m:r>
              <m:r>
                <m:rPr>
                  <m:sty m:val="p"/>
                </m:rPr>
                <m:t>=</m:t>
              </m:r>
              <m:r>
                <m:rPr>
                  <m:sty m:val="p"/>
                </m:rPr>
                <m:t>−</m:t>
              </m:r>
              <m:r>
                <m:t>0</m:t>
              </m:r>
              <m:r>
                <m:rPr>
                  <m:sty m:val="p"/>
                </m:rPr>
                <m:t>,</m:t>
              </m:r>
              <m:r>
                <m:t>132</m:t>
              </m:r>
            </m:oMath>
            <w:r>
              <w:t xml:space="preserve"> </w:t>
            </w:r>
            <w:r>
              <w:t xml:space="preserve">(</w:t>
            </w:r>
            <m:oMath>
              <m:r>
                <m:t>p</m:t>
              </m:r>
              <m:r>
                <m:rPr>
                  <m:sty m:val="p"/>
                </m:rPr>
                <m:t>=</m:t>
              </m:r>
              <m:r>
                <m:rPr>
                  <m:sty m:val="p"/>
                </m:rPr>
                <m:t>,</m:t>
              </m:r>
              <m:r>
                <m:t>001</m:t>
              </m:r>
            </m:oMath>
            <w:r>
              <w:t xml:space="preserve">)</w:t>
            </w:r>
          </w:p>
        </w:tc>
        <w:tc>
          <w:tcPr/>
          <w:p>
            <w:pPr>
              <w:pStyle w:val="Compact"/>
              <w:jc w:val="left"/>
            </w:pPr>
            <w:r>
              <w:t xml:space="preserve">Có ý nghĩa rõ rệt</w:t>
            </w:r>
          </w:p>
        </w:tc>
      </w:tr>
      <w:tr>
        <w:tc>
          <w:tcPr/>
          <w:p>
            <w:pPr>
              <w:pStyle w:val="Compact"/>
              <w:jc w:val="left"/>
            </w:pPr>
            <w:r>
              <w:t xml:space="preserve">Lệch lạc công bố — Egger</w:t>
            </w:r>
          </w:p>
        </w:tc>
        <w:tc>
          <w:tcPr/>
          <w:p>
            <w:pPr>
              <w:pStyle w:val="Compact"/>
              <w:jc w:val="right"/>
            </w:pPr>
            <m:oMath>
              <m:r>
                <m:t>b</m:t>
              </m:r>
              <m:r>
                <m:rPr>
                  <m:sty m:val="p"/>
                </m:rPr>
                <m:t>=</m:t>
              </m:r>
              <m:r>
                <m:t>0</m:t>
              </m:r>
              <m:r>
                <m:rPr>
                  <m:sty m:val="p"/>
                </m:rPr>
                <m:t>,</m:t>
              </m:r>
              <m:r>
                <m:t>487</m:t>
              </m:r>
            </m:oMath>
            <w:r>
              <w:t xml:space="preserve"> </w:t>
            </w:r>
            <w:r>
              <w:t xml:space="preserve">(</w:t>
            </w:r>
            <m:oMath>
              <m:r>
                <m:t>p</m:t>
              </m:r>
              <m:r>
                <m:rPr>
                  <m:sty m:val="p"/>
                </m:rPr>
                <m:t>=</m:t>
              </m:r>
              <m:r>
                <m:rPr>
                  <m:sty m:val="p"/>
                </m:rPr>
                <m:t>,</m:t>
              </m:r>
              <m:r>
                <m:t>052</m:t>
              </m:r>
            </m:oMath>
            <w:r>
              <w:t xml:space="preserve">)</w:t>
            </w:r>
          </w:p>
        </w:tc>
        <w:tc>
          <w:tcPr/>
          <w:p>
            <w:pPr>
              <w:pStyle w:val="Compact"/>
              <w:jc w:val="left"/>
            </w:pPr>
            <w:r>
              <w:t xml:space="preserve">Sát ngưỡng</w:t>
            </w:r>
          </w:p>
        </w:tc>
      </w:tr>
      <w:tr>
        <w:tc>
          <w:tcPr/>
          <w:p>
            <w:pPr>
              <w:pStyle w:val="Compact"/>
              <w:jc w:val="left"/>
            </w:pPr>
            <w:r>
              <w:t xml:space="preserve">Cắt và điền (trim-and-fill)</w:t>
            </w:r>
          </w:p>
        </w:tc>
        <w:tc>
          <w:tcPr/>
          <w:p>
            <w:pPr>
              <w:pStyle w:val="Compact"/>
              <w:jc w:val="right"/>
            </w:pPr>
            <m:oMath>
              <m:sSub>
                <m:e>
                  <m:acc>
                    <m:accPr>
                      <m:chr m:val="‾"/>
                    </m:accPr>
                    <m:e>
                      <m:r>
                        <m:t>r</m:t>
                      </m:r>
                    </m:e>
                  </m:acc>
                </m:e>
                <m:sub>
                  <m:r>
                    <m:rPr>
                      <m:nor/>
                      <m:sty m:val="p"/>
                    </m:rPr>
                    <m:t>adj</m:t>
                  </m:r>
                </m:sub>
              </m:sSub>
              <m:r>
                <m:rPr>
                  <m:sty m:val="p"/>
                </m:rPr>
                <m:t>=</m:t>
              </m:r>
              <m:r>
                <m:t>0</m:t>
              </m:r>
              <m:r>
                <m:rPr>
                  <m:sty m:val="p"/>
                </m:rPr>
                <m:t>,</m:t>
              </m:r>
              <m:r>
                <m:t>035</m:t>
              </m:r>
            </m:oMath>
            <w:r>
              <w:t xml:space="preserve"> </w:t>
            </w:r>
            <w:r>
              <w:t xml:space="preserve">(</w:t>
            </w:r>
            <m:oMath>
              <m:r>
                <m:t>k</m:t>
              </m:r>
              <m:r>
                <m:rPr>
                  <m:sty m:val="p"/>
                </m:rPr>
                <m:t>=</m:t>
              </m:r>
              <m:r>
                <m:t>57</m:t>
              </m:r>
            </m:oMath>
            <w:r>
              <w:t xml:space="preserve"> </w:t>
            </w:r>
            <w:r>
              <w:t xml:space="preserve">điền)</w:t>
            </w:r>
          </w:p>
        </w:tc>
        <w:tc>
          <w:tcPr/>
          <w:p>
            <w:pPr>
              <w:pStyle w:val="Compact"/>
              <w:jc w:val="left"/>
            </w:pPr>
            <w:r>
              <w:t xml:space="preserve">Ước lượng bảo thủ</w:t>
            </w:r>
          </w:p>
        </w:tc>
      </w:tr>
      <w:tr>
        <w:tc>
          <w:tcPr/>
          <w:p>
            <w:pPr>
              <w:pStyle w:val="Compact"/>
              <w:jc w:val="left"/>
            </w:pPr>
            <w:r>
              <w:t xml:space="preserve">Số an toàn</w:t>
            </w:r>
            <w:r>
              <w:t xml:space="preserve"> </w:t>
            </w:r>
            <m:oMath>
              <m:r>
                <m:t>N</m:t>
              </m:r>
            </m:oMath>
          </w:p>
        </w:tc>
        <w:tc>
          <w:tcPr/>
          <w:p>
            <w:pPr>
              <w:pStyle w:val="Compact"/>
              <w:jc w:val="right"/>
            </w:pPr>
            <w:r>
              <w:t xml:space="preserve">44.782</w:t>
            </w:r>
          </w:p>
        </w:tc>
        <w:tc>
          <w:tcPr/>
          <w:p>
            <w:pPr>
              <w:pStyle w:val="Compact"/>
              <w:jc w:val="left"/>
            </w:pPr>
            <w:r>
              <w:t xml:space="preserve">Vượt ngưỡng</w:t>
            </w:r>
            <w:r>
              <w:t xml:space="preserve"> </w:t>
            </w:r>
            <m:oMath>
              <m:r>
                <m:t>5</m:t>
              </m:r>
              <m:r>
                <m:t>k</m:t>
              </m:r>
              <m:r>
                <m:rPr>
                  <m:sty m:val="p"/>
                </m:rPr>
                <m:t>+</m:t>
              </m:r>
              <m:r>
                <m:t>10</m:t>
              </m:r>
              <m:r>
                <m:rPr>
                  <m:sty m:val="p"/>
                </m:rPr>
                <m:t>=</m:t>
              </m:r>
              <m:r>
                <m:t>1.200</m:t>
              </m:r>
            </m:oMath>
          </w:p>
        </w:tc>
      </w:tr>
    </w:tbl>
    <w:p>
      <w:pPr>
        <w:pStyle w:val="BodyText"/>
      </w:pPr>
      <w:r>
        <w:rPr>
          <w:iCs/>
          <w:i/>
        </w:rPr>
        <w:t xml:space="preserve">Nguồn: Mục 4.2.1–4.2.4. Hệ phân loại ICRV của P6 dùng năm chế độ rút gọn ở cấp nghiên cứu (I, II, III, biên thể chế yếu, hỗn hợp), khác hệ sáu nhóm cấp doanh nghiệp ở P7.</w:t>
      </w:r>
    </w:p>
    <w:bookmarkEnd w:id="332"/>
    <w:bookmarkStart w:id="333" w:name="X0316a686ea8058194f46a1c5cafd73f607f4c9c"/>
    <w:p>
      <w:pPr>
        <w:pStyle w:val="Heading2"/>
      </w:pPr>
      <w:r>
        <w:t xml:space="preserve">C.3 Điểm uốn theo sáu nhóm ICRV trong kiểm định toàn mẫu (P7)</w:t>
      </w:r>
    </w:p>
    <w:p>
      <w:pPr>
        <w:pStyle w:val="FirstParagraph"/>
      </w:pPr>
      <w:r>
        <w:rPr>
          <w:bCs/>
          <w:b/>
        </w:rPr>
        <w:t xml:space="preserve">Bảng C.3.</w:t>
      </w:r>
      <w:r>
        <w:t xml:space="preserve"> </w:t>
      </w:r>
      <w:r>
        <w:rPr>
          <w:iCs/>
          <w:i/>
        </w:rPr>
        <w:t xml:space="preserve">Điểm uốn theo nhóm ICRV trên khung 50 nền kinh tế (dạng M5 ước lượng riêng từng nhóm).</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left"/>
            </w:pPr>
            <w:r>
              <w:t xml:space="preserve">Kết luận</w:t>
            </w:r>
          </w:p>
        </w:tc>
      </w:tr>
      <w:tr>
        <w:tc>
          <w:tcPr/>
          <w:p>
            <w:pPr>
              <w:pStyle w:val="Compact"/>
              <w:jc w:val="left"/>
            </w:pPr>
            <w:r>
              <w:t xml:space="preserve">I, Tiên tiến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left"/>
            </w:pPr>
            <w:r>
              <w:t xml:space="preserve">Gần tuyến tính dương; điểm uốn ngoài miền</w:t>
            </w:r>
          </w:p>
        </w:tc>
      </w:tr>
      <w:tr>
        <w:tc>
          <w:tcPr/>
          <w:p>
            <w:pPr>
              <w:pStyle w:val="Compact"/>
              <w:jc w:val="left"/>
            </w:pPr>
            <w:r>
              <w:t xml:space="preserve">II, Tiên tiến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left"/>
            </w:pPr>
            <w:r>
              <w:t xml:space="preserve">Quan hệ mất cấu trúc</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left"/>
            </w:pPr>
            <w:r>
              <w:t xml:space="preserve">Không có chữ U ngược (đơn điệu âm)</w:t>
            </w:r>
          </w:p>
        </w:tc>
      </w:tr>
    </w:tbl>
    <w:p>
      <w:pPr>
        <w:pStyle w:val="BodyText"/>
      </w:pPr>
      <w:r>
        <w:rPr>
          <w:iCs/>
          <w:i/>
        </w:rPr>
        <w:t xml:space="preserve">Nguồn: Mục 4.6.2 (Bảng 4.7). Giá trị trong ngoặc vuông là điểm uốn đại số khi đường cong không được xác nhận thống kê. Ba vùng thể chế: chữ U ngược rõ nét ở vùng giữa (Nhóm IV), duỗi thẳng ở biên trên (Nhóm I), mất cấu trúc ở biên dưới (Nhóm V–VI).</w:t>
      </w:r>
    </w:p>
    <w:bookmarkEnd w:id="333"/>
    <w:bookmarkStart w:id="334" w:name="Xa159f7e3223ee74e8ee80d909f862fa77064b29"/>
    <w:p>
      <w:pPr>
        <w:pStyle w:val="Heading2"/>
      </w:pPr>
      <w:r>
        <w:t xml:space="preserve">C.4 Tóm tắt kiểm định độ vững theo từng nghiên cứu</w:t>
      </w:r>
    </w:p>
    <w:p>
      <w:pPr>
        <w:pStyle w:val="FirstParagraph"/>
      </w:pPr>
      <w:r>
        <w:rPr>
          <w:bCs/>
          <w:b/>
        </w:rPr>
        <w:t xml:space="preserve">Bảng C.4.</w:t>
      </w:r>
      <w:r>
        <w:t xml:space="preserve"> </w:t>
      </w:r>
      <w:r>
        <w:rPr>
          <w:iCs/>
          <w:i/>
        </w:rPr>
        <w:t xml:space="preserve">Kiểm định độ vững trọng tâm và kết luận của từng nghiên cứu thành phần.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Nghiên cứu</w:t>
            </w:r>
          </w:p>
        </w:tc>
        <w:tc>
          <w:tcPr/>
          <w:p>
            <w:pPr>
              <w:pStyle w:val="Compact"/>
              <w:jc w:val="left"/>
            </w:pPr>
            <w:r>
              <w:t xml:space="preserve">Kiểm định độ vững trọng tâm</w:t>
            </w:r>
          </w:p>
        </w:tc>
        <w:tc>
          <w:tcPr/>
          <w:p>
            <w:pPr>
              <w:pStyle w:val="Compact"/>
              <w:jc w:val="left"/>
            </w:pPr>
            <w:r>
              <w:t xml:space="preserve">Kết luận</w:t>
            </w:r>
          </w:p>
        </w:tc>
      </w:tr>
      <w:tr>
        <w:tc>
          <w:tcPr/>
          <w:p>
            <w:pPr>
              <w:pStyle w:val="Compact"/>
              <w:jc w:val="left"/>
            </w:pPr>
            <w:r>
              <w:t xml:space="preserve">P3 Việt Nam</w:t>
            </w:r>
          </w:p>
        </w:tc>
        <w:tc>
          <w:tcPr/>
          <w:p>
            <w:pPr>
              <w:pStyle w:val="Compact"/>
              <w:jc w:val="left"/>
            </w:pPr>
            <w:r>
              <w:t xml:space="preserve">Tách ngành, mô hình bậc ba, biến công cụ cho TCI (</w:t>
            </w:r>
            <m:oMath>
              <m:r>
                <m:t>β</m:t>
              </m:r>
              <m:r>
                <m:rPr>
                  <m:sty m:val="p"/>
                </m:rPr>
                <m:t>=</m:t>
              </m:r>
              <m:r>
                <m:t>1</m:t>
              </m:r>
              <m:r>
                <m:rPr>
                  <m:sty m:val="p"/>
                </m:rPr>
                <m:t>,</m:t>
              </m:r>
              <m:r>
                <m:t>639</m:t>
              </m:r>
            </m:oMath>
            <w:r>
              <w:t xml:space="preserve">,</w:t>
            </w:r>
            <w:r>
              <w:t xml:space="preserve"> </w:t>
            </w:r>
            <m:oMath>
              <m:r>
                <m:t>F</m:t>
              </m:r>
              <m:r>
                <m:rPr>
                  <m:sty m:val="p"/>
                </m:rPr>
                <m:t>=</m:t>
              </m:r>
              <m:r>
                <m:t>22</m:t>
              </m:r>
              <m:r>
                <m:rPr>
                  <m:sty m:val="p"/>
                </m:rPr>
                <m:t>,</m:t>
              </m:r>
              <m:r>
                <m:t>1</m:t>
              </m:r>
            </m:oMath>
            <w:r>
              <w:t xml:space="preserve">) và DAI (</w:t>
            </w:r>
            <m:oMath>
              <m:r>
                <m:t>β</m:t>
              </m:r>
              <m:r>
                <m:rPr>
                  <m:sty m:val="p"/>
                </m:rPr>
                <m:t>=</m:t>
              </m:r>
              <m:r>
                <m:t>0</m:t>
              </m:r>
              <m:r>
                <m:rPr>
                  <m:sty m:val="p"/>
                </m:rPr>
                <m:t>,</m:t>
              </m:r>
              <m:r>
                <m:t>018</m:t>
              </m:r>
            </m:oMath>
            <w:r>
              <w:t xml:space="preserve">,</w:t>
            </w:r>
            <w:r>
              <w:t xml:space="preserve"> </w:t>
            </w:r>
            <m:oMath>
              <m:r>
                <m:t>F</m:t>
              </m:r>
              <m:r>
                <m:rPr>
                  <m:sty m:val="p"/>
                </m:rPr>
                <m:t>=</m:t>
              </m:r>
              <m:r>
                <m:t>34</m:t>
              </m:r>
              <m:r>
                <m:rPr>
                  <m:sty m:val="p"/>
                </m:rPr>
                <m:t>,</m:t>
              </m:r>
              <m:r>
                <m:t>6</m:t>
              </m:r>
            </m:oMath>
            <w:r>
              <w:t xml:space="preserve">)</w:t>
            </w:r>
          </w:p>
        </w:tc>
        <w:tc>
          <w:tcPr/>
          <w:p>
            <w:pPr>
              <w:pStyle w:val="Compact"/>
              <w:jc w:val="left"/>
            </w:pPr>
            <w:r>
              <w:t xml:space="preserve">Chữ U ngược và TCI nhân quả vững; DAI phụ thuộc chọn lựa, không nhân quả</w:t>
            </w:r>
          </w:p>
        </w:tc>
      </w:tr>
      <w:tr>
        <w:tc>
          <w:tcPr/>
          <w:p>
            <w:pPr>
              <w:pStyle w:val="Compact"/>
              <w:jc w:val="left"/>
            </w:pPr>
            <w:r>
              <w:t xml:space="preserve">P4 Singapore</w:t>
            </w:r>
          </w:p>
        </w:tc>
        <w:tc>
          <w:tcPr/>
          <w:p>
            <w:pPr>
              <w:pStyle w:val="Compact"/>
              <w:jc w:val="left"/>
            </w:pPr>
            <w:r>
              <w:t xml:space="preserve">Bootstrap 5.000 lần (chữ U ngược tái lập 96,3%), VIF &lt; 3, mẫu phụ xuất khẩu, đảo chỗ chỉ báo, hiệu chỉnh Heckman</w:t>
            </w:r>
          </w:p>
        </w:tc>
        <w:tc>
          <w:tcPr/>
          <w:p>
            <w:pPr>
              <w:pStyle w:val="Compact"/>
              <w:jc w:val="left"/>
            </w:pPr>
            <w:r>
              <w:t xml:space="preserve">Cơ chế khuếch đại (lá chắn số) vững; cảnh báo công suất thấp (</w:t>
            </w:r>
            <m:oMath>
              <m:r>
                <m:t>N</m:t>
              </m:r>
              <m:r>
                <m:rPr>
                  <m:sty m:val="p"/>
                </m:rPr>
                <m:t>=</m:t>
              </m:r>
              <m:r>
                <m:t>84</m:t>
              </m:r>
            </m:oMath>
            <w:r>
              <w:t xml:space="preserve"> </w:t>
            </w:r>
            <w:r>
              <w:t xml:space="preserve">ở mẫu phụ)</w:t>
            </w:r>
          </w:p>
        </w:tc>
      </w:tr>
      <w:tr>
        <w:tc>
          <w:tcPr/>
          <w:p>
            <w:pPr>
              <w:pStyle w:val="Compact"/>
              <w:jc w:val="left"/>
            </w:pPr>
            <w:r>
              <w:t xml:space="preserve">P5 Trung Quốc</w:t>
            </w:r>
          </w:p>
        </w:tc>
        <w:tc>
          <w:tcPr/>
          <w:p>
            <w:pPr>
              <w:pStyle w:val="Compact"/>
              <w:jc w:val="left"/>
            </w:pPr>
            <w:r>
              <w:t xml:space="preserve">Mẫu phụ chỉ ngành sản xuất (</w:t>
            </w:r>
            <m:oMath>
              <m:r>
                <m:t>N</m:t>
              </m:r>
              <m:r>
                <m:rPr>
                  <m:sty m:val="p"/>
                </m:rPr>
                <m:t>=</m:t>
              </m:r>
              <m:r>
                <m:t>2.718</m:t>
              </m:r>
            </m:oMath>
            <w:r>
              <w:t xml:space="preserve">), Paternoster chéo đợt, hiệu ứng cố định ngành</w:t>
            </w:r>
          </w:p>
        </w:tc>
        <w:tc>
          <w:tcPr/>
          <w:p>
            <w:pPr>
              <w:pStyle w:val="Compact"/>
              <w:jc w:val="left"/>
            </w:pPr>
            <w:r>
              <w:t xml:space="preserve">Điểm uốn giữ trong dải an toàn 30–60%; ổn định theo thời gian được bảo toàn</w:t>
            </w:r>
          </w:p>
        </w:tc>
      </w:tr>
      <w:tr>
        <w:tc>
          <w:tcPr/>
          <w:p>
            <w:pPr>
              <w:pStyle w:val="Compact"/>
              <w:jc w:val="left"/>
            </w:pPr>
            <w:r>
              <w:t xml:space="preserve">P6 Meta-analysis</w:t>
            </w:r>
          </w:p>
        </w:tc>
        <w:tc>
          <w:tcPr/>
          <w:p>
            <w:pPr>
              <w:pStyle w:val="Compact"/>
              <w:jc w:val="left"/>
            </w:pPr>
            <w:r>
              <w:t xml:space="preserve">Ba kiểm định lệch lạc công bố, cắt và điền, số an toàn N, bằng chứng chéo ICBEF 2024 (k=113, r=0,07)</w:t>
            </w:r>
          </w:p>
        </w:tc>
        <w:tc>
          <w:tcPr/>
          <w:p>
            <w:pPr>
              <w:pStyle w:val="Compact"/>
              <w:jc w:val="left"/>
            </w:pPr>
            <w:r>
              <w:t xml:space="preserve">Hiệu ứng gộp dương vững; điều tiết thể chế (</w:t>
            </w:r>
            <m:oMath>
              <m:sSub>
                <m:e>
                  <m:r>
                    <m:t>Q</m:t>
                  </m:r>
                </m:e>
                <m:sub>
                  <m:r>
                    <m:t>M</m:t>
                  </m:r>
                </m:sub>
              </m:sSub>
            </m:oMath>
            <w:r>
              <w:t xml:space="preserve">) có ý nghĩa; cỡ hiệu ứng thận trọng 0,035</w:t>
            </w:r>
          </w:p>
        </w:tc>
      </w:tr>
      <w:tr>
        <w:tc>
          <w:tcPr/>
          <w:p>
            <w:pPr>
              <w:pStyle w:val="Compact"/>
              <w:jc w:val="left"/>
            </w:pPr>
            <w:r>
              <w:t xml:space="preserve">P7 50 nền</w:t>
            </w:r>
          </w:p>
        </w:tc>
        <w:tc>
          <w:tcPr/>
          <w:p>
            <w:pPr>
              <w:pStyle w:val="Compact"/>
              <w:jc w:val="left"/>
            </w:pPr>
            <w:r>
              <w:t xml:space="preserve">Điểm uốn ổn định dải 43,6–51,5% qua M2–M10; cụm nhỏ, đa kiểm định, bất biến đo lường, kiểm soát chọn lọc (Mục 4.6.8)</w:t>
            </w:r>
          </w:p>
        </w:tc>
        <w:tc>
          <w:tcPr/>
          <w:p>
            <w:pPr>
              <w:pStyle w:val="Compact"/>
              <w:jc w:val="left"/>
            </w:pPr>
            <w:r>
              <w:t xml:space="preserve">Cấu trúc ba vùng thể chế vững; chữ U ngược không phải tạo tác mẫu nhỏ</w:t>
            </w:r>
          </w:p>
        </w:tc>
      </w:tr>
      <w:tr>
        <w:tc>
          <w:tcPr/>
          <w:p>
            <w:pPr>
              <w:pStyle w:val="Compact"/>
              <w:jc w:val="left"/>
            </w:pPr>
            <w:r>
              <w:t xml:space="preserve">P8 SIDS</w:t>
            </w:r>
          </w:p>
        </w:tc>
        <w:tc>
          <w:tcPr/>
          <w:p>
            <w:pPr>
              <w:pStyle w:val="Compact"/>
              <w:jc w:val="left"/>
            </w:pPr>
            <w:r>
              <w:t xml:space="preserve">Bootstrap cụm hoang dã (B=9.999), mở rộng chín nền (</w:t>
            </w:r>
            <m:oMath>
              <m:r>
                <m:t>N</m:t>
              </m:r>
              <m:r>
                <m:rPr>
                  <m:sty m:val="p"/>
                </m:rPr>
                <m:t>=</m:t>
              </m:r>
              <m:r>
                <m:t>1.469</m:t>
              </m:r>
            </m:oMath>
            <w:r>
              <w:t xml:space="preserve">), bỏ kiểm soát sở hữu nước ngoài (</w:t>
            </w:r>
            <m:oMath>
              <m:r>
                <m:t>N</m:t>
              </m:r>
              <m:r>
                <m:rPr>
                  <m:sty m:val="p"/>
                </m:rPr>
                <m:t>=</m:t>
              </m:r>
              <m:r>
                <m:t>950</m:t>
              </m:r>
            </m:oMath>
            <w:r>
              <w:t xml:space="preserve">)</w:t>
            </w:r>
          </w:p>
        </w:tc>
        <w:tc>
          <w:tcPr/>
          <w:p>
            <w:pPr>
              <w:pStyle w:val="Compact"/>
              <w:jc w:val="left"/>
            </w:pPr>
            <w:r>
              <w:t xml:space="preserve">Chữ U ngược mất cấu trúc (phát hiện vững); độ lớn FIP nhạy phiên bản dữ liệu (thăm dò)</w:t>
            </w:r>
          </w:p>
        </w:tc>
      </w:tr>
      <w:tr>
        <w:tc>
          <w:tcPr/>
          <w:p>
            <w:pPr>
              <w:pStyle w:val="Compact"/>
              <w:jc w:val="left"/>
            </w:pPr>
            <w:r>
              <w:t xml:space="preserve">P9 Ấn Độ</w:t>
            </w:r>
          </w:p>
        </w:tc>
        <w:tc>
          <w:tcPr/>
          <w:p>
            <w:pPr>
              <w:pStyle w:val="Compact"/>
              <w:jc w:val="left"/>
            </w:pPr>
            <w:r>
              <w:t xml:space="preserve">Paternoster dưới HC1 và cụm theo bang (</w:t>
            </w:r>
            <m:oMath>
              <m:r>
                <m:t>G</m:t>
              </m:r>
              <m:r>
                <m:rPr>
                  <m:sty m:val="p"/>
                </m:rPr>
                <m:t>=</m:t>
              </m:r>
              <m:r>
                <m:t>24</m:t>
              </m:r>
            </m:oMath>
            <w:r>
              <w:t xml:space="preserve">):</w:t>
            </w:r>
            <w:r>
              <w:t xml:space="preserve"> </w:t>
            </w:r>
            <m:oMath>
              <m:r>
                <m:t>z</m:t>
              </m:r>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mô hình gộp ba đợt với biến giả</w:t>
            </w:r>
          </w:p>
        </w:tc>
        <w:tc>
          <w:tcPr/>
          <w:p>
            <w:pPr>
              <w:pStyle w:val="Compact"/>
              <w:jc w:val="left"/>
            </w:pPr>
            <w:r>
              <w:t xml:space="preserve">Tan biến ngưỡng vững qua hai phương án sai số chuẩn</w:t>
            </w:r>
          </w:p>
        </w:tc>
      </w:tr>
      <w:tr>
        <w:tc>
          <w:tcPr/>
          <w:p>
            <w:pPr>
              <w:pStyle w:val="Compact"/>
              <w:jc w:val="left"/>
            </w:pPr>
            <w:r>
              <w:t xml:space="preserve">P10 Nhật Bản</w:t>
            </w:r>
          </w:p>
        </w:tc>
        <w:tc>
          <w:tcPr/>
          <w:p>
            <w:pPr>
              <w:pStyle w:val="Compact"/>
              <w:jc w:val="left"/>
            </w:pPr>
            <w:r>
              <w:t xml:space="preserve">Định vị biên trên ICRV; số hạng bậc hai không ý nghĩa, điểm uốn đại số ngoài miền</w:t>
            </w:r>
          </w:p>
        </w:tc>
        <w:tc>
          <w:tcPr/>
          <w:p>
            <w:pPr>
              <w:pStyle w:val="Compact"/>
              <w:jc w:val="left"/>
            </w:pPr>
            <w:r>
              <w:t xml:space="preserve">Quan hệ gần tuyến tính dương đúng dự đoán biên trên của phổ thể chế</w:t>
            </w:r>
          </w:p>
        </w:tc>
      </w:tr>
    </w:tbl>
    <w:p>
      <w:pPr>
        <w:pStyle w:val="BodyText"/>
      </w:pPr>
      <w:r>
        <w:rPr>
          <w:iCs/>
          <w:i/>
        </w:rPr>
        <w:t xml:space="preserve">Nguồn: Mục 4.3.9, 4.4.7, 4.5.10, 4.2.4, 4.6.8, 4.7.7–4.7.8, 4.8 và 4.1.5. Bằng chứng bổ trợ P2 (doanh nghiệp nhỏ và vừa Trung Quốc, đã công bố JFAR): 4.290 quan sát, điểm uốn 47,8%, sát ngưỡng P5, cơ chế bẫy vốn lưu động (Mục 4.4.8).</w:t>
      </w:r>
    </w:p>
    <w:p>
      <w:r>
        <w:br w:type="page"/>
      </w:r>
    </w:p>
    <w:bookmarkEnd w:id="334"/>
    <w:bookmarkEnd w:id="33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87" Target="media/rId87.png" /><Relationship Type="http://schemas.openxmlformats.org/officeDocument/2006/relationships/image" Id="rId154" Target="media/rId154.png" /><Relationship Type="http://schemas.openxmlformats.org/officeDocument/2006/relationships/image" Id="rId151" Target="media/rId151.png" /><Relationship Type="http://schemas.openxmlformats.org/officeDocument/2006/relationships/image" Id="rId171" Target="media/rId171.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234" Target="media/rId234.png" /><Relationship Type="http://schemas.openxmlformats.org/officeDocument/2006/relationships/image" Id="rId174" Target="media/rId174.png" /><Relationship Type="http://schemas.openxmlformats.org/officeDocument/2006/relationships/image" Id="rId222" Target="media/rId222.png" /><Relationship Type="http://schemas.openxmlformats.org/officeDocument/2006/relationships/image" Id="rId168" Target="media/rId16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2026-06-26T06:17:58Z</dcterms:created>
  <dcterms:modified xsi:type="dcterms:W3CDTF">2026-06-26T06:17:58Z</dcterms:modified>
</cp:coreProperties>
</file>

<file path=docProps/custom.xml><?xml version="1.0" encoding="utf-8"?>
<Properties xmlns="http://schemas.openxmlformats.org/officeDocument/2006/custom-properties" xmlns:vt="http://schemas.openxmlformats.org/officeDocument/2006/docPropsVTypes"/>
</file>