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chương-1-giới-thiệu"/>
    <w:p>
      <w:pPr>
        <w:pStyle w:val="Heading1"/>
      </w:pPr>
      <w:r>
        <w:t xml:space="preserve">CHƯƠNG 1: GIỚI THIỆU</w:t>
      </w:r>
    </w:p>
    <w:p>
      <w:r>
        <w:pict>
          <v:rect style="width:0;height:1.5pt" o:hralign="center" o:hrstd="t" o:hr="t"/>
        </w:pict>
      </w:r>
    </w:p>
    <w:bookmarkStart w:id="20" w:name="X13b13dcb632e299e7aab4c6eaebd9a76fa1beb2"/>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thế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đó,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không đồng đều giữa các quốc gia. Khu vực này bao gồm Singapore (một nền kinh tế nhỏ mở, dẫn đầu thế giới về năng lực đổi mới và kết nối toàn cầu) và Việt Nam (nền kinh tế chuyển đổi đang đẩy nhanh cải cách thể chế và hội nhập quốc tế). Khu vực cũng bao gồm Trung Quốc với quy mô thị trường khổng lồ và cấu trúc thể chế đặc thù. Thậm chí, các quốc đảo nhỏ Thái Bình Dương cũng có mặt trong khu vực này. Họ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Dẫu vậy, phần lớn bằng chứng thực nghiệm hiện có về vai trò của năng lực số trong quan hệ I–P vẫn tập trung vào các nền kinh tế phát triển, đặc biệt là Bắc Mỹ và Tây Âu.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 "institutional voids", tức sự thiếu hụt các thể chế trung gian hỗ trợ giao dịch thị trường, tạo ra chi phí bổ sung đáng kể cho doanh nghiệp quốc tế hóa (Peng, 2003). Sự đa dạng thể chế giữa các quốc gia châu Á tạo ra gradient thể chế đặc biệt phong phú để kiểm định. Gradient này trải dài từ những nền kinh tế với quản trị nhà nước ổn định, pháp quyền mạnh như Singapore đến các nền kinh tế đang phát triển thể chế như Campuchia hay các quốc đảo Thái Bình Dương. Luận án này tiếp cận gradient đó một cách hệ thống thông qua khung phân loại thể chế 6 nhóm được phát triển cho luận án này, gọi tắt là ICRV (Institutional Context Regime Variation —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đó,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p>
      <w:r>
        <w:pict>
          <v:rect style="width:0;height:1.5pt" o:hralign="center" o:hrstd="t" o:hr="t"/>
        </w:pict>
      </w:r>
    </w:p>
    <w:bookmarkEnd w:id="20"/>
    <w:bookmarkStart w:id="21" w:name="X53e2415d4fb45baf8cd2a412e42535181010810"/>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nằm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Theo lập luận của luận án, ba tầng điều tiết này cùng nhau tạo nên cấu trúc giải thích cần thiết cho heterogeneity cao trong quan hệ I–P.</w:t>
      </w:r>
    </w:p>
    <w:p>
      <w:r>
        <w:pict>
          <v:rect style="width:0;height:1.5pt" o:hralign="center" o:hrstd="t" o:hr="t"/>
        </w:pict>
      </w:r>
    </w:p>
    <w:bookmarkEnd w:id="21"/>
    <w:bookmarkStart w:id="22" w:name="Xddd0cf747c0a67b01e6dbf6ccd3d5a26093524b"/>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khung này, vai trò điều tiết của thể chế, năng lực số và đặc điểm nhà quản trị được làm rõ.</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(moderators) chính giải thích heterogeneity trong literature. Mục tiêu cụ thể thứ hai là kiểm định cơ chế cụ thể trong các bối cảnh quốc gia khác nhau. Ba bối cảnh được chọn là: Singapore với tư cách nền kinh tế nhỏ mở tiên tiến; Việt Nam với tư cách nền kinh tế chuyển đổi đang mở rộng; và Trung Quốc với tư cách nền kinh tế mới nổi quy mô lớn. Mục tiêu là làm rõ cách thức các cơ chế I–P vận hành khác nhau theo bối cảnh quốc gia. Mục tiêu cụ thể thứ ba là mở rộng phân tích sang 47–49 nền kinh tế châu Á và Thái Bình Dương (bao gồm 6–8 nền kinh tế Pacific SIDS). Mục tiêu này nhằm kiểm định khả năng khái quát hóa của các phát hiện trên phạm vi rộng, kế thừa và mở rộng từ pool 17 nền kinh tế trong Do và Phan (2026a). Mục tiêu cụ thể thứ tư là phân tích vai trò điều tiết của ba nhóm biến. Nhóm thứ nhất là thể chế (bao gồm các sub-regime ICRV và các chỉ số rào cản thể chế). Nhóm thứ hai là năng lực số (phân biệt rõ technological capability index, TCI và chỉ số chấp nhận số, digital adoption index — DAI). Nhóm thứ ba là đặc điểm nhà quản trị cấp cao (kinh nghiệm và giới tính).</w:t>
      </w:r>
    </w:p>
    <w:p>
      <w:r>
        <w:pict>
          <v:rect style="width:0;height:1.5pt" o:hralign="center" o:hrstd="t" o:hr="t"/>
        </w:pict>
      </w:r>
    </w:p>
    <w:bookmarkEnd w:id="22"/>
    <w:bookmarkStart w:id="23" w:name="X87fe9b92bff0b7de065d8ce9f99db45fc20ac37"/>
    <w:p>
      <w:pPr>
        <w:pStyle w:val="Heading2"/>
      </w:pPr>
      <w:r>
        <w:t xml:space="preserve">1.4 Câu hỏi nghiên cứu</w:t>
      </w:r>
    </w:p>
    <w:p>
      <w:pPr>
        <w:pStyle w:val="FirstParagraph"/>
      </w:pPr>
      <w:r>
        <w:t xml:space="preserve">Câu hỏi nghiên cứu trung tâm của luận án có hai vế. Vế thứ nhất: Quốc tế hóa ảnh hưởng đến hiệu quả hoạt động của doanh nghiệp ở châu Á như thế nào? Vế thứ hai: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literature 1982–2026 là gì, mức độ dị biệt ở mức nào, và những moderators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tập trung vào phạm vi đa quốc gia châu Á bao gồm 47–49 nền kinh tế châu Á và Thái Bình Dương (trong đó có 6–8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liên quan đến vai trò của thể chế (đo bằng sub-regime ICRV) cùng với sự phân biệt giữa TCI và DAI, và đặc điểm nhà quản trị. Vai trò của các yếu tố này trong việc điều tiết mối quan hệ I–P là gì, và sự tương tác ba chiều giữa ba tầng đó có ý nghĩa như thế nào?</w:t>
      </w:r>
    </w:p>
    <w:p>
      <w:r>
        <w:pict>
          <v:rect style="width:0;height:1.5pt" o:hralign="center" o:hrstd="t" o:hr="t"/>
        </w:pict>
      </w:r>
    </w:p>
    <w:bookmarkEnd w:id="23"/>
    <w:bookmarkStart w:id="27" w:name="X65498bc8ca053915d52029abf6405df9e172fcf"/>
    <w:p>
      <w:pPr>
        <w:pStyle w:val="Heading2"/>
      </w:pPr>
      <w:r>
        <w:t xml:space="preserve">1.5 Đối tượng và phạm vi nghiên cứu</w:t>
      </w:r>
    </w:p>
    <w:bookmarkStart w:id="24" w:name="X8b3240eec70eb02636d2fdc8bdc1a88ab724461"/>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Các yếu tố điều tiết của mối quan hệ này bao gồm bối cảnh thể chế, năng lực số và đặc điểm nhà quản trị cấp cao. Đơn vị phân tích là doanh nghiệp ở cấp độ tổ chức (firm-level analysis), không phải cấp độ ngành hay cấp độ quốc gia.</w:t>
      </w:r>
    </w:p>
    <w:bookmarkEnd w:id="24"/>
    <w:bookmarkStart w:id="25" w:name="Xdda8bea219e201096fb69350311d81779178d86"/>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47–49 nền kinh tế châu Á và Thái Bình Dương</w:t>
      </w:r>
      <w:r>
        <w:t xml:space="preserve"> </w:t>
      </w:r>
      <w:r>
        <w:t xml:space="preserve">có dữ liệu trong Khảo sát Doanh nghiệp của Ngân hàng Thế giới (World Bank Enterprise Surveys — WBES). Các nền kinh tế này được phân loại và tổ chức theo 6 sub-regime trong khung ICRV. Sáu sub-regime bao gồm năm nhóm chính sau. (i) Advanced Innovation-Driven, đại diện là Singapore, Hàn Quốc và Đài Loan. (ii) Advanced Resource-Driven, đại diện là các nền kinh tế GCC. (iii) Upper-middle, đại diện là Trung Quốc và Malaysia. (iv) Emerging, bao gồm Việt Nam và các nền kinh tế ASEAN đang phát triển. (v) Frontier, bao gồm các nền kinh tế kém phát triển nhất châu Á như Campuchia, Nepal và Afghanistan. Nhóm (vi) là Pacific SIDS (Small Island Developing States), bao gồm 9 nền kinh tế đảo nhỏ Thái Bình Dương được đưa vào phân tích để kiểm định các điều kiện biên cực đoan của quan hệ I–P. Nhật Bản không nằm trong phạm vi thực nghiệm của luận án do cấu trúc dữ liệu WBES không bao phủ Nhật Bản đầy đủ.</w:t>
      </w:r>
    </w:p>
    <w:bookmarkEnd w:id="25"/>
    <w:bookmarkStart w:id="26" w:name="Xeaaa108478ee5a5cfd2730dcd2a679712e4d50e"/>
    <w:p>
      <w:pPr>
        <w:pStyle w:val="Heading3"/>
      </w:pPr>
      <w:r>
        <w:t xml:space="preserve">1.5.3 Phạm vi thời gian</w:t>
      </w:r>
    </w:p>
    <w:p>
      <w:pPr>
        <w:pStyle w:val="FirstParagraph"/>
      </w:pPr>
      <w:r>
        <w:t xml:space="preserve">Phạm vi thời gian của nghiên cứu có hai mức. Đối với phase meta-analysis, luận án tổng hợp literature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2009–2025, bao gồm 101.185 doanh nghiệp với 108 cặp quốc gia-năm trải qua 14 mốc khảo sát.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26"/>
    <w:bookmarkEnd w:id="27"/>
    <w:bookmarkStart w:id="28" w:name="X86a5b257fb89080e1266fb25f16d85a512b88ba"/>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moderator quan trọng trong literature. Trong khi đó,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inverted-U và xác định điểm turning point trong quan hệ phi tuyến (Haans et al., 2016; Lind &amp; Mehlum, 2010).</w:t>
      </w:r>
    </w:p>
    <w:p>
      <w:r>
        <w:pict>
          <v:rect style="width:0;height:1.5pt" o:hralign="center" o:hrstd="t" o:hr="t"/>
        </w:pict>
      </w:r>
    </w:p>
    <w:bookmarkEnd w:id="28"/>
    <w:bookmarkStart w:id="29" w:name="X3c54937ab54b446680144131a3edf28950c0543"/>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inverted-U. Chi phí thâm nhập và thích nghi cao ở giai đoạn đầu, sau đó là lợi ích quy mô, học hỏi và đa dạng hóa thị trường ở giai đoạn sau. Đến khi chi phí điều phối vượt quá lợi ích, hiệu quả sẽ suy giảm.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Gradient này trải từ tác động dương lớn ở Advanced Innovation-Driven đến tác động âm ở Frontier và Pacific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Pacific SIDS (ICRV Nhóm VI), ba điều kiện cấu trúc tối thiểu đồng thời bị vi phạm: thị trường nội địa quá nhỏ, chi phí thương mại cực cao, và thiếu hỗ trợ thể chế. Khi đó,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 FIP). Chi tiết toàn bộ hệ giả thuyết H1–H6 và H1b được trình bày đầy đủ trong Chương 2 của luận án.</w:t>
      </w:r>
    </w:p>
    <w:p>
      <w:r>
        <w:pict>
          <v:rect style="width:0;height:1.5pt" o:hralign="center" o:hrstd="t" o:hr="t"/>
        </w:pict>
      </w:r>
    </w:p>
    <w:bookmarkEnd w:id="29"/>
    <w:bookmarkStart w:id="33" w:name="X39da0168eea83083f00ccda398c6ca752284a3b"/>
    <w:p>
      <w:pPr>
        <w:pStyle w:val="Heading2"/>
      </w:pPr>
      <w:r>
        <w:t xml:space="preserve">1.8 Ý nghĩa khoa học và thực tiễn</w:t>
      </w:r>
    </w:p>
    <w:bookmarkStart w:id="30" w:name="Xb13f208cd7e2a7b8ddfa14daa5f68945dc98c62"/>
    <w:p>
      <w:pPr>
        <w:pStyle w:val="Heading3"/>
      </w:pPr>
      <w:r>
        <w:t xml:space="preserve">1.8.1 Đóng góp lý thuyết</w:t>
      </w:r>
    </w:p>
    <w:p>
      <w:pPr>
        <w:pStyle w:val="FirstParagraph"/>
      </w:pPr>
      <w:r>
        <w:t xml:space="preserve">Về mặt lý thuyết, luận án đóng góp vào literature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literature về số hóa và quốc tế hóa. Hướng thứ ba là tái định vị Uppsala model trong bối cảnh kỷ nguyên AI bằng cách mở rộng cơ chế học hỏi để bao gồm "data-augmented learning",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Đây là một construct lý thuyết mới chưa được định danh trong literature kinh doanh quốc tế. FIP đại diện cho điều kiện biên cực đoan của mô hình chữ U ngược khi cả ba tầng của khung CDCM (thể chế, năng lực, quản trị) đồng thời ở mức tối thiểu. Bằng chứng thực nghiệm từ chín nền kinh tế Pacific SIDS xác nhận quan hệ âm đơn điệu không có điểm uốn. Phát hiện này mở ra hướng nghiên cứu mới về điều kiện biên của lý thuyết quốc tế hóa.</w:t>
      </w:r>
    </w:p>
    <w:bookmarkEnd w:id="30"/>
    <w:bookmarkStart w:id="31" w:name="X3d1e24e5d7dc17cac50b0e64eb2b896b8e15054"/>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literature toàn cầu và bằng chứng thực nghiệm từ bối cảnh châu Á. Hướng thứ hai là phát triển và áp dụng khung phân loại thể chế ICRV cho 47 nền kinh tế. Khung này cung cấp một công cụ phân loại mới có ứng dụng tiềm năng trong nhiều nghiên cứu tương lai về moderating effect của thể chế trong literature kinh doanh quốc tế.</w:t>
      </w:r>
    </w:p>
    <w:bookmarkEnd w:id="31"/>
    <w:bookmarkStart w:id="32" w:name="X0302103971dcdc6779b36845a96890c9d013149"/>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Nghiên cứu về 17 nền kinh tế châu Á mới nổi đặt tên cho hiệu ứng này là "digital shield effect". Trong cơ chế này, năng lực số làm giảm tác động tiêu cực của rào cản thể chế đối với doanh nghiệp quốc tế hóa (Do &amp; Phan, 2026a). Cơ chế này được luận án kiểm định trên phạm vi rộng hơn với 47–49 nền kinh tế châu Á và Thái Bình Dương.</w:t>
      </w:r>
    </w:p>
    <w:p>
      <w:r>
        <w:pict>
          <v:rect style="width:0;height:1.5pt" o:hralign="center" o:hrstd="t" o:hr="t"/>
        </w:pict>
      </w:r>
    </w:p>
    <w:bookmarkEnd w:id="32"/>
    <w:bookmarkEnd w:id="33"/>
    <w:bookmarkStart w:id="34" w:name="X6442ea4641bb5af7be5e0a47286ea0a65645731"/>
    <w:p>
      <w:pPr>
        <w:pStyle w:val="Heading2"/>
      </w:pPr>
      <w:r>
        <w:t xml:space="preserve">1.9 Tính mới của đề tài</w:t>
      </w:r>
    </w:p>
    <w:p>
      <w:pPr>
        <w:pStyle w:val="FirstParagraph"/>
      </w:pPr>
      <w:r>
        <w:t xml:space="preserve">Luận án có năm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47 nền kinh tế, bao gồm cả 6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101.185 doanh nghiệp từ 47–49 nền kinh tế châu Á và Thái Bình Dương. Pool này mở rộng đáng kể từ pool 17 nước (Do &amp; Phan, 2026a), vốn là nền tảng hiện có lớn nhất trước khi luận án hoàn thành. Điểm mới thứ năm là kiểm định temporal stability của turning point trong quan hệ I–P tại Trung Quốc, cho phép đánh giá liệu cấu trúc phi tuyến đó có ổn định qua hơn một thập kỷ chuyển đổi số hay không. Kết quả phân tích của luận án cho thấy turning point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chín nền kinh tế Pacific SIDS. Đây là lần đầu tiên trong literature kinh doanh quốc tế một trường hợp quan hệ I–P âm đơn điệu không có điểm uốn được ghi nhận. Trường hợp này được biện minh lý thuyết bằng ba điều kiện cấu trúc vi phạm đồng thời. Phát hiện này mở ra hướng nghiên cứu mới về điều kiện biên của các lý thuyết quốc tế hóa phổ quát.</w:t>
      </w:r>
    </w:p>
    <w:p>
      <w:r>
        <w:pict>
          <v:rect style="width:0;height:1.5pt" o:hralign="center" o:hrstd="t" o:hr="t"/>
        </w:pict>
      </w:r>
    </w:p>
    <w:bookmarkEnd w:id="34"/>
    <w:bookmarkStart w:id="35" w:name="X6c4b07320300cc108639920671c62ca27abf972"/>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47–49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sáu nghiên cứu thành phần (P3–P8):</w:t>
      </w:r>
      <w:r>
        <w:t xml:space="preserve"> </w:t>
      </w:r>
      <w:r>
        <w:t xml:space="preserve">Luận án tích hợp sáu nghiên cứu thành phần được công bố hoặc đang trong quá trình xem xét tại các tạp chí ISI/Scopus.</w:t>
      </w:r>
      <w:r>
        <w:t xml:space="preserve"> </w:t>
      </w:r>
      <w:r>
        <w:rPr>
          <w:bCs/>
          <w:b/>
        </w:rPr>
        <w:t xml:space="preserve">P3</w:t>
      </w:r>
      <w:r>
        <w:t xml:space="preserve"> </w:t>
      </w:r>
      <w:r>
        <w:t xml:space="preserve">(Việt Nam — JABS, under review): kiểm định inverted-U tại Nhóm IV ICRV, turning point = 39,3–46,2% FSTS, TCI là level-shifter có ý nghĩa.</w:t>
      </w:r>
      <w:r>
        <w:t xml:space="preserve"> </w:t>
      </w:r>
      <w:r>
        <w:rPr>
          <w:bCs/>
          <w:b/>
        </w:rPr>
        <w:t xml:space="preserve">P4</w:t>
      </w:r>
      <w:r>
        <w:t xml:space="preserve"> </w:t>
      </w:r>
      <w:r>
        <w:t xml:space="preserve">(Singapore — MIR, under review): kiểm định tại Nhóm I ICRV, turning point ≈ 88,6%, DAI Tier-1+2 khuếch đại đường cong I→P.</w:t>
      </w:r>
      <w:r>
        <w:t xml:space="preserve"> </w:t>
      </w:r>
      <w:r>
        <w:rPr>
          <w:bCs/>
          <w:b/>
        </w:rPr>
        <w:t xml:space="preserve">P5</w:t>
      </w:r>
      <w:r>
        <w:t xml:space="preserve"> </w:t>
      </w:r>
      <w:r>
        <w:t xml:space="preserve">(Trung Quốc — IJOEM, under review): kiểm định temporal stability, turning point ổn định qua 2012–2024 (≈ 48,78%, Paternoster z = 0,82, p = ,412).</w:t>
      </w:r>
      <w:r>
        <w:t xml:space="preserve"> </w:t>
      </w:r>
      <w:r>
        <w:rPr>
          <w:bCs/>
          <w:b/>
        </w:rPr>
        <w:t xml:space="preserve">P6</w:t>
      </w:r>
      <w:r>
        <w:t xml:space="preserve"> </w:t>
      </w:r>
      <w:r>
        <w:t xml:space="preserve">(meta-analysis ba tầng — IBR, under review): k = 238 nghiên cứu, r̄ = 0,074, I² = 62,4%, gradient ICRV Q_M = 17,35 (df = 4, p = ,002).</w:t>
      </w:r>
      <w:r>
        <w:t xml:space="preserve"> </w:t>
      </w:r>
      <w:r>
        <w:rPr>
          <w:bCs/>
          <w:b/>
        </w:rPr>
        <w:t xml:space="preserve">P7</w:t>
      </w:r>
      <w:r>
        <w:t xml:space="preserve"> </w:t>
      </w:r>
      <w:r>
        <w:t xml:space="preserve">(49 nền kinh tế — JIBS, under revision): N = 84.910 quan sát, turning point trung bình ~36%, DAI×ICRV (p = ,012), kiểm định tích hợp CDCM đầu tiên ở quy mô liên quốc gia lớn.</w:t>
      </w:r>
      <w:r>
        <w:t xml:space="preserve"> </w:t>
      </w:r>
      <w:r>
        <w:rPr>
          <w:bCs/>
          <w:b/>
        </w:rPr>
        <w:t xml:space="preserve">P8</w:t>
      </w:r>
      <w:r>
        <w:t xml:space="preserve"> </w:t>
      </w:r>
      <w:r>
        <w:t xml:space="preserve">(Pacific SIDS — World Development, under revision): boundary condition FIP, quan hệ âm đơn điệu (</w:t>
      </w:r>
      <m:oMath>
        <m:sSub>
          <m:e>
            <m:acc>
              <m:accPr>
                <m:chr m:val="̂"/>
              </m:accPr>
              <m:e>
                <m:r>
                  <m:t>β</m:t>
                </m:r>
              </m:e>
            </m:acc>
          </m:e>
          <m:sub>
            <m:r>
              <m:rPr>
                <m:nor/>
                <m:sty m:val="p"/>
              </m:rPr>
              <m:t>FSTS</m:t>
            </m:r>
          </m:sub>
        </m:sSub>
        <m:r>
          <m:rPr>
            <m:sty m:val="p"/>
          </m:rPr>
          <m:t>=</m:t>
        </m:r>
        <m:r>
          <m:rPr>
            <m:sty m:val="p"/>
          </m:rPr>
          <m:t>−</m:t>
        </m:r>
        <m:r>
          <m:t>0</m:t>
        </m:r>
        <m:r>
          <m:rPr>
            <m:sty m:val="p"/>
          </m:rPr>
          <m:t>,</m:t>
        </m:r>
        <m:r>
          <m:t>404</m:t>
        </m:r>
      </m:oMath>
      <w:r>
        <w:t xml:space="preserve">,</w:t>
      </w:r>
      <w:r>
        <w:t xml:space="preserve"> </w:t>
      </w:r>
      <m:oMath>
        <m:r>
          <m:t>p</m:t>
        </m:r>
        <m:r>
          <m:rPr>
            <m:sty m:val="p"/>
          </m:rPr>
          <m:t>&lt;</m:t>
        </m:r>
        <m:r>
          <m:rPr>
            <m:sty m:val="p"/>
          </m:rPr>
          <m:t>,</m:t>
        </m:r>
        <m:r>
          <m:t>05</m:t>
        </m:r>
      </m:oMath>
      <w:r>
        <w:t xml:space="preserve">), xác nhận H1b tại chín nền kinh tế SIDS Thái Bình Dương. Kết quả P3–P8 được trình bày chi tiết trong Chương 4 và tích hợp vào bàn luận CDCM trong Chương 5.</w:t>
      </w:r>
    </w:p>
    <w:p>
      <w:r>
        <w:pict>
          <v:rect style="width:0;height:1.5pt" o:hralign="center" o:hrstd="t" o:hr="t"/>
        </w:pict>
      </w:r>
    </w:p>
    <w:p>
      <w:pPr>
        <w:pStyle w:val="FirstParagraph"/>
      </w:pPr>
      <w:r>
        <w:rPr>
          <w:iCs/>
          <w:i/>
        </w:rPr>
        <w:t xml:space="preserve">Chú thích về ký hiệu và thuật ngữ: Trong toàn bộ luận án, "quốc tế hóa" (internationalization) được đo chủ yếu bằng tỷ lệ doanh thu nước ngoài trên tổng doanh thu (FSTS) hoặc export intensity; "hiệu quả hoạt động" (firm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bookmarkEnd w:id="35"/>
    <w:bookmarkEnd w:id="36"/>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2026-05-21T09:14:08Z</dcterms:created>
  <dcterms:modified xsi:type="dcterms:W3CDTF">2026-05-21T09:14:08Z</dcterms:modified>
</cp:coreProperties>
</file>

<file path=docProps/custom.xml><?xml version="1.0" encoding="utf-8"?>
<Properties xmlns="http://schemas.openxmlformats.org/officeDocument/2006/custom-properties" xmlns:vt="http://schemas.openxmlformats.org/officeDocument/2006/docPropsVTypes"/>
</file>