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hệ thống hóa các khái niệm cốt lõi và lý thuyết nền tảng. Chương lược khảo các công trình thực nghiệm đã công bố về mối quan hệ giữa quốc tế hóa và hiệu quả hoạt động doanh nghiệp, đồng thời xác định những khoảng trống còn tồn tại trong literature. Trên cơ sở đó, chương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Phạm vi này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vốn mang nghĩa một xu hướng kinh tế vĩ mô. Quốc tế hóa là một thuộc tính đo lường được ở cấp độ doanh nghiệp, phản ánh chiến lược mở rộng quốc tế và mức độ phụ thuộc vào thị trường nước ngoài.</w:t>
      </w:r>
    </w:p>
    <w:p>
      <w:pPr>
        <w:pStyle w:val="BodyText"/>
      </w:pPr>
      <w:r>
        <w:t xml:space="preserve">Trong tài liệu hiện có, mức độ quốc tế hóa được vận hành hóa bằng nhiều thước đo khác nhau. Sullivan (1994) đề xuất một chỉ số tổng hợp đa chiều gồm ba thành phần. Các thành phần đó là tỷ trọng doanh thu từ nước ngoài trên tổng doanh thu (foreign sales to total sales, FSTS), tỷ trọng tài sản ở nước ngoài trên tổng tài sản (foreign assets to total assets, FATA), và phạm vi địa lý (geographic scope). Trong các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Cường độ xuất khẩu được tính bằng tỷ lệ phần trăm doanh thu xuất khẩu trên tổng doanh thu, tương đương với FSTS theo nghĩa rộng (Johanson &amp; Vahlne, 1977; Lu &amp; Beamish, 2004). Luận án này sử dụng FSTS và bình phương FSTS (FSTS²) làm thước đo chính về mức độ quốc tế hóa. Lựa chọn này phù hợp với cấu trúc dữ liệu WBES và nhất quán với các nghiên cứu I–P sử dụng bộ dữ liệu tương tự (Bhandari et al., 2023; Do &amp; Phan, 2026a).</w:t>
      </w:r>
    </w:p>
    <w:p>
      <w:pPr>
        <w:pStyle w:val="BodyText"/>
      </w:pPr>
      <w:r>
        <w:t xml:space="preserve">Cần lưu ý rằng quốc tế hóa không phải là trạng thái nhị phân mà là biến liên tục biểu thị cường độ tham gia thị trường quốc tế. Biến này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định nghĩa hoặc thước đo thống nhất trong literature. Combs et al. (2005) và Richard et al. (2009) phân biệt ba nhóm thước đo chính. Nhóm thứ nhất là thước đo dựa trên kế toán (accounting-based), gồm tỷ suất sinh lời trên tổng tài sản (ROA), tỷ suất sinh lời trên vốn chủ sở hữu (ROE), và tỷ suất sinh lời trên doanh thu (ROS). Nhóm thứ hai là thước đo dựa trên thị trường tài chính (market-based), gồm Tobin's Q và tổng lợi nhuận cổ đông. Nhóm thứ ba là thước đo dựa trên năng suất và tăng trưởng (productivity-based),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tức ln(doanh thu/lao động). Cách tính này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Thước đo này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TCI là chiều sâu nội tại của tổ chức, khó sao chép và tạo ra lợi thế bền vững theo tinh thần RBV (Barney, 1991).</w:t>
      </w:r>
    </w:p>
    <w:p>
      <w:pPr>
        <w:pStyle w:val="BodyText"/>
      </w:pPr>
      <w:r>
        <w:t xml:space="preserve">Trái lại, chỉ số chấp nhận số (Digital Adoption Index, DAI) phản ánh mức độ áp dụng các công cụ số tại giao diện ngoại tại của doanh nghiệp. Các công cụ này bao gồm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hóa-hiệu quả. TCI hoạt động chủ yếu như một nhân tố nâng mặt bằng hiệu quả (level shifter). Trong khi đó,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Việc phân nhóm dựa trên tổ hợp các chỉ số quản trị toàn cầu (World Governance Indicators — WGI) của Kaufmann et al. (2011), mức độ phát triển kinh tế, và đặc trưng cấu trúc thể chế. Sáu nhóm bao gồm: Nhóm I (Advanced Innovation-Driven), Nhóm II (Advanced Resource-Driven), Nhóm III (Upper-middle), Nhóm IV (Lower-middle transition), Nhóm V (Frontier), và Nhóm VI (Pacific SIDS — Small Island Developing States). Đại diện điển hình lần lượt là: Singapore, Hong Kong, Đài Loan, Hàn Quốc (Nhóm I); các nền kinh tế vùng Vịnh (Nhóm II); Trung Quốc (Nhóm III); Việt Nam và Ấn Độ (Nhóm IV).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Mô hình được xây dựng trên cơ sở quan sát quá trình quốc tế hóa của các doanh nghiệp Thụy Điển. Mô hình đề xuất rằng doanh nghiệp quốc tế hóa theo một quá trình tuần tự và tích lũy. Trong quá trình đó, tri thức thị trường nước ngoài và cam kết nguồn lực vào thị trường tác động lẫn nhau theo vòng lặp phản hồi. Doanh nghiệp bắt đầu bằng xuất khẩu gián tiếp, tiến đến đại lý độc lập, sau đó là chi nhánh kinh doanh, và cuối cùng là sản xuất tại nước ngoài. Trình tự này phản ánh mức độ cam kết và tri thức ngày càng tăng.</w:t>
      </w:r>
    </w:p>
    <w:p>
      <w:pPr>
        <w:pStyle w:val="BodyText"/>
      </w:pPr>
      <w:r>
        <w:t xml:space="preserve">Một trong những khái niệm trọng tâm của mô hình Uppsala là "gánh nặng của người nước ngoài" (liability of foreignness). Khái niệm này chỉ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Các tác giả nhấn mạnh rằng trong nền kinh tế toàn cầu hiện đại, rào cản lớn nhất không phải là khoảng cách địa lý hay tâm lý. Rào cản chính nằm ở vị trí ngoài lề của các mạng lưới kinh doanh địa phương. Hai loại gánh nặng này giải thích vì sao chi phí quốc tế hóa giai đoạn đầu thường cao. Chính chi phí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Dẫu vậy, mô hình Uppsala cổ điển được xây dựng trong bối cảnh tiền số và tiền nền tảng (pre-platform). Mô hình đã bị thách thức đáng kể trong thập kỷ gần đây. Hai dòng nghiên cứu chính cho thấy logic của Uppsala không còn phổ quát. Dòng thứ nhất là nghiên cứu về born-global firms, tức doanh nghiệp quốc tế hóa ngay từ giai đoạn đầu mà không theo trình tự tuần tự. Dòng thứ hai là về platform firms, tức doanh nghiệp công nghệ tận dụng nền tảng số để vươn ra thị trường quốc tế không cần hiện diện vật lý (Stallkamp &amp; Schotter, 2021; Yang et al., 2025). Trong luận án này, mô hình Uppsala không bị bác bỏ, mà được tái định vị như một lớp nền giải thích chi phí học hỏi và bất định trong giai đoạn đầu quốc tế hóa. Cơ chế học hỏi được mở rộng để bao gồm "học hỏi tăng cường bằng dữ liệu số" (data-augmented learning) trong kỷ nguyên chuyển đổi số. Ở kỷ nguyên này,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khác nhau. Doanh nghiệp sở hữu năng lực công nghệ, năng lực quản trị vượt trội, và năng lực học hỏi mạnh hơn sẽ chuyển hóa quốc tế hóa thành hiệu quả tốt hơn. Doanh nghiệp như vậy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Lý thuyết này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TCI cho phép doanh nghiệp tái cấu hình nguồn lực và mô hình kinh doanh để ứng phó với bất định trong quốc tế hóa (Bhandari et al., 2023; Verhoef et al., 2021). DAI là chỉ số áp dụng số nền tảng (Tier-1 proxy) đo lường sự hiện diện website. DAI phản ánh mức độ chấp nhận kỹ thuật số cơ bản chứ không phải năng lực động theo nghĩa Teece et al. (1997). RBV cung cấp nền lý thuyết trực tiếp cho giả thuyết H2 về vai trò điều tiết của TCI.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tạo ra "khoảng trống thể chế" (institutional voids). Các thể chế trung gian thiếu hụt này bao gồm hệ thống pháp lý, thị trường vốn, tổ chức đánh giá tín nhiệm, và hiệp hội ngành nghề. Khoảng trống này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Kết quả cho thấy thể chế quốc gia nguồn điều tiết đáng kể mối quan hệ quốc tế hóa-hiệu quả.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Năng lực này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Lý thuyết cho rằng các quyết định chiến lược lớn và kết quả của tổ chức không phải là sản phẩm của các quy trình duy lý hoàn toàn. Các quyết định đó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Kinh nghiệm này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Yếu tố này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Các tác giả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Lớp mở rộng này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Các tác giả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mô hình này,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Đây là các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Các tác giả xác nhận rằng mức độ dị biệt (heterogeneity) giữa các nghiên cứu rất cao với I² &gt; 80%. Kết quả này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là nghiên cứu meta-analytic toàn diện nhất trong literature với 170 nghiên cứu và 32 quốc gia. Nhóm tác giả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Kết quả này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Kết quả ước lượng r̄ = 0,074 [KTC 95%: 0,060; 0,088], I² = 62,4%, Q_M(ICRV) = 17,35 (df = 4, p = ,002). Kết quả này xác nhận tác động tổng hợp dương nhỏ nhưng bền vững. Phát hiện này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Thứ nhất, tác động tổng hợp của quốc tế hóa lên hiệu quả là dương nhưng khiêm tốn. Thứ hai, mức dị biệt rất cao. Thứ ba,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Phổ thể chế trải dài từ Singapore với chất lượng quản trị đứng hàng đầu thế giới đến Afghanistan với chất lượng quản trị rất yếu. Khu vực cũng bao gồm cả Nhật Bản với nền kinh tế phát triển hoàn thiện lẫn các Pacific SIDS với quy mô siêu nhỏ và hạ tầng thể chế còn sơ khai (Khanna &amp; Palepu, 2010; Peng, 2003). Thứ hai, tốc độ chuyển đổi số và hội nhập quốc tế không đồng đều giữa các quốc gia trong khu vực. Sự không đồng đều này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Nghiên cứu phân tích 40.633 doanh nghiệp từ 17 nền kinh tế châu Á sử dụng dữ liệu WBES. Nghiên cứu tìm thấy hai phát hiện chính. Thứ nhất, tồn tại phân tầng năng suất rõ rệt giữa nhóm Chinese economies, South Asia và ASEAN, phản ánh sự dị biệt thể chế và năng lực giữa các nhóm. Thứ hai, việc áp dụng công nghệ vừa làm tăng năng suất lao động trực tiếp vừa làm suy giảm đáng kể tác động bất lợi của các rào cản thể chế. Phát hiện này được gọi là "hiệu ứng lá chắn số" (digital shield effect). Do và Phan (2026g) kiểm định cụ thể với dữ liệu doanh nghiệp Trung Quốc và tìm thấy cấu trúc cubic inverted-U với ngưỡng FSTS tối ưu khoảng 47,8%. Đây là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đó,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Tuy nhiên, doanh nghiệp có năng lực số cao hơn có thể vượt qua ràng buộc này hiệu quả hơn.</w:t>
      </w:r>
    </w:p>
    <w:p>
      <w:pPr>
        <w:pStyle w:val="BodyText"/>
      </w:pPr>
      <w:r>
        <w:t xml:space="preserve">Dẫu vậy,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Hơn 80% biến thiên trong effect size không được giải thích bởi sai số ngẫu nhiên mà bởi sự khác biệt có hệ thống giữa các bối cảnh (Bausch &amp; Krist, 2007; Marano et al., 2016). Dẫu vậy, hầu hết các nghiên cứu thực nghiệm hiện tại chỉ kiểm định một hoặc hai moderator từ một lý thuyết đơn lẻ. Cách tiếp cận này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Tuy vậy, pool này vẫn chưa bao gồm các nền kinh tế frontier và Pacific SIDS, những địa điểm rất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Đây là khung lý thuyết tích hợp đa tầng. CDCM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tức Nghiên cứu P7, lấp đầy khoảng trống này bằng dữ liệu WBES từ 49 nền kinh tế (N = 84.910–91.982 doanh nghiệp, 102 country-year waves). Nghiên cứu bao phủ toàn bộ gradient ICRV từ nhóm tiên tiến đến SIDS, kiểm định đồng thời H1–H6 với country-year fixed effects. Kết quả turning point trung bình ~36% FSTS tại P7, thấp hơn P3 Vietnam (~40%) và P5 Trung Quốc (~49%). Kết quả này xác nhận ICRV điều tiết vị trí turning point theo gradient dự đoán lý thuyết. Đây là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tức bối cảnh mà quốc tế hóa là gánh nặng sinh tồn, không phải lựa chọn chiến lược dựa trên lợi thế cạnh tranh. Do và Phan (2026b), tức Nghiên cứu P8, kiểm định H1b bằng dữ liệu WBES từ các nền kinh tế Pacific SIDS (Fiji, Tonga, Solomon Islands, Vanuatu, Samoa). Ở đây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Thứ nhất, mức độ khoảng trống thể chế (institutional voids) ảnh hưởng đến chi phí giao dịch xuyên biên giới. Thứ hai, chất lượng thể chế ảnh hưởng đến khả năng doanh nghiệp khai thác lợi ích từ quốc tế hóa. Ở các nền kinh tế frontier và SIDS, khoảng trống thể chế rất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 "nâng đỡ mặt bằng" (level shifter). Doanh nghiệp có TCI cao sẽ đạt hiệu quả cao hơn ở mọi mức độ FSTS. Doanh nghiệp loại này có khả năng khai thác lợi ích quốc tế hóa tốt hơn nhờ năng lực hấp thụ tri thức và công nghệ từ thị trường nước ngoài. Ngược lại, DAI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Vị trí turning point có thể thay đổi khi bối cảnh thể chế và năng lực doanh nghiệp thay đổi theo chiều dọc. Hiện tượng này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Giả thuyết H1 được xây dựng trên ba nền tảng lý thuyết. Đó là Uppsala về chi phí thâm nhập giai đoạn đầu, RBV về lợi thế cạnh tranh tích lũy ở giai đoạn trung, và lý thuyết chi phí giao dịch về sự phức tạp điều phối ở giai đoạn mở rộng quá mức. H1 được phát biểu như sau. Quan hệ giữa mức độ quốc tế hóa và hiệu quả hoạt động của các doanh nghiệp ở các quốc gia châu Á có dạng phi tuyến chữ U ngược. Đường cong có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Dẫu vậy, lý thuyết dự đoán này ngầm giả định rằng ba điều kiện cấu trúc cơ bản được đáp ứng. Thứ nhất, tồn tại thị trường nội địa đủ lớn để doanh nghiệp có nền tảng hiệu suất và thanh khoản trước khi xuất khẩu. Thứ hai, chi phí thương mại ở mức chấp nhận được, cho phép cân nhắc kinh tế hợp lý. Thứ ba,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Bên cạnh đó,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Quan hệ này có thể chuyển thành</w:t>
      </w:r>
      <w:r>
        <w:t xml:space="preserve"> </w:t>
      </w:r>
      <w:r>
        <w:rPr>
          <w:bCs/>
          <w:b/>
        </w:rPr>
        <w:t xml:space="preserve">quan hệ âm đơn điệu không có điểm uốn</w:t>
      </w:r>
      <w:r>
        <w:t xml:space="preserve">, tức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Quan hệ này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TCI hoạt động bằng cách nâng mặt bằng hiệu quả tổng thể và làm giảm chi phí học hỏi thị trường quốc tế. Cơ chế này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Ở mức xuất khẩu này,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Cơ chế tác động là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Sự thay đổi này phản ánh sự phát triển của năng lực doanh nghiệp và cải thiện điều kiện thể chế qua các giai đoạn. Cơ sở lý thuyết bao gồm Wu et al. (2022), Xiao et al. (2013), và Banalieva và Dhanaraj (2019). Do và Phan (2026g) cung cấp bằng chứng về sự ổn định tương đối của turning point Trung Quốc giữa 2012 và 2024 (Paternoster z = +0,82, p = .412, không bác bỏ bằng nhau). Kết quả này là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Đó là: quốc tế hóa doanh nghiệp (đo bằng FSTS); hiệu quả hoạt động (đo bằng labor productivity là chính); năng lực công nghệ (TCI) và chỉ số chấp nhận số (DAI) như hai construct độc lập.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Phần này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Hệ giả thuyết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2026-05-21T09:14:08Z</dcterms:created>
  <dcterms:modified xsi:type="dcterms:W3CDTF">2026-05-21T09:14:08Z</dcterms:modified>
</cp:coreProperties>
</file>

<file path=docProps/custom.xml><?xml version="1.0" encoding="utf-8"?>
<Properties xmlns="http://schemas.openxmlformats.org/officeDocument/2006/custom-properties" xmlns:vt="http://schemas.openxmlformats.org/officeDocument/2006/docPropsVTypes"/>
</file>