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Bước (i) xác định khoảng trống nghiên cứu từ tổng quan và meta-analysis trước đây. Bước (ii) xây dựng khung lý thuyết tích hợp đa tầng và hệ giả thuyết H1–H6. Bước (iii) tiến hành meta-analysis cập nhật 1982–2026. Bước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Bước (v) ước lượng mô hình thực nghiệm theo bối cảnh quốc gia và đa quốc gia. Bước (vi) kiểm định độ vững và tích hợp kết quả để đóng góp lý thuyết.</w:t>
      </w:r>
    </w:p>
    <w:bookmarkEnd w:id="21"/>
    <w:bookmarkEnd w:id="22"/>
    <w:bookmarkStart w:id="26" w:name="Xc837cd1eb674a4290cf22d63ca57a264d2a76b7"/>
    <w:p>
      <w:pPr>
        <w:pStyle w:val="Heading2"/>
      </w:pPr>
      <w:r>
        <w:t xml:space="preserve">3.2 Phase 1: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gồm các bước sau.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9849ea55f293328d7af4750149a944f3b0c8358"/>
    <w:p>
      <w:pPr>
        <w:pStyle w:val="Heading2"/>
      </w:pPr>
      <w:r>
        <w:t xml:space="preserve">3.3 Phase 2: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Dẫu vậy, luận án</w:t>
      </w:r>
      <w:r>
        <w:t xml:space="preserve"> </w:t>
      </w:r>
      <w:r>
        <w:rPr>
          <w:iCs/>
          <w:i/>
        </w:rPr>
        <w:t xml:space="preserve">không áp dụng sampling weights</w:t>
      </w:r>
      <w:r>
        <w:t xml:space="preserve"> </w:t>
      </w:r>
      <w:r>
        <w:t xml:space="preserve">trong ước lượng mô hình hồi quy vì ba lý do. Thứ nhất,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literature IB sử dụng WBES (Aterido et al., 2011; Cuervo-Cazurra et al., 2018). Thứ hai, fixed effects ở cấp country-year đã kiểm soát đặc điểm cấu trúc của từng sóng khảo sát. Thứ ba,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7"/>
    <w:bookmarkStart w:id="28" w:name="Xf2ea72fa9349ddc4b9e21f5ef590f4b93e5e741"/>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63a53880123ab83c85eec08c7e72bc2b9a6750"/>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dựa trên năm cơ sở. Cơ sở (i): Bharadwaj et al. (2013) cho thấy IT capability và digital business strategy có nomological nets khác nhau. Cơ sở (ii): phân tầng 3 cấp của Verhoef et al. (2021) gồm digitization, digitalization, digital transformation. Cơ sở (iii): truyền thống Lall (1992) và Cohen &amp; Levinthal (1990) coi technological capability là chiều sâu năng lực nội tại (absorptive capacity), khác về bản chất với digital adoption ở giao diện ngoại tại. Cơ sở (iv): resource-orchestration logic của Bhandari et al. (2023) cho I→P relationship. Cơ sở (v): 4 tiêu chí formative composite của Coltman et al. (2008),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3fee737c788958d2a80253168f73f07013a660d"/>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f9ed1fe34c2c63c9bc24f636afa94c70ed1bc7e"/>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cho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63c3f2fc119ff50eda9388719407b1c32636347"/>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tức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cho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04bbfb0acfd55030625a39eaa775bb872b6e6a7"/>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cho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5"/>
    <w:bookmarkStart w:id="47" w:name="X5c10254027dad606dd706416fcb9325216bce7a"/>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rPr>
          <w:bCs/>
          <w:b/>
        </w:rPr>
        <w:t xml:space="preserve">CDDXK_c²_it</w:t>
      </w:r>
      <w:r>
        <w:t xml:space="preserve">: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cho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13d875494c8e9cae090eb54a8d8de5b95d18b1a"/>
    <w:p>
      <w:pPr>
        <w:pStyle w:val="Heading4"/>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Nhóm này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 là</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 "năng lực số hoá động".</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cho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2026-05-21T09:14:09Z</dcterms:created>
  <dcterms:modified xsi:type="dcterms:W3CDTF">2026-05-21T09:14:09Z</dcterms:modified>
</cp:coreProperties>
</file>

<file path=docProps/custom.xml><?xml version="1.0" encoding="utf-8"?>
<Properties xmlns="http://schemas.openxmlformats.org/officeDocument/2006/custom-properties" xmlns:vt="http://schemas.openxmlformats.org/officeDocument/2006/docPropsVTypes"/>
</file>