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ba bước. Bước đầu đi từ bức tranh thực trạng mô tả (Mục 4.1) đến bằng chứng tổng hợp ở cấp meta-analytic (Mục 4.2). Tiếp theo là bằng chứng quốc gia cụ thể. Cuối cùng là kiểm định toàn mẫu đa quốc gia. Cấu trúc trình bày gồm tám phần chính. Phần đầu trình bày thực trạng quốc tế hóa và hiệu quả hoạt động kinh doanh tại châu Á theo các phân nhóm con thể chế ICRV. Các phần tiếp theo lần lượt là (ii) kết quả meta-analysis ba tầng (P6) và (iii) bối cảnh thể chế tiên tiến-đổi mới tại Singapore (P4). Tiếp đến là (iv) bối cảnh thể chế trung bình cao tại Trung Quốc (P5) và (v) bối cảnh chuyển đổi bậc thấp-trung tại Việt Nam (P3). Ba phần cuối gồm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d494b1d34c58141b179120912d2f55e522d9b8f"/>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đo bằng ln(doanh thu/lao động),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sd ≈ 1,03) và nhóm tài nguyên dẫn dắt (Saudi Arabia, Qatar, Kuwait, sd ≈ 0,49) xấp xỉ 2,1 lần. Tỷ số này phản ánh hai cơ chế tăng trưởng và phân phối khác nhau. Phân nhóm con tài nguyên dẫn dắt có độ phân tán năng suất thấp nhất toàn bộ pool. Đây là biểu hiện của kinh tế nhà nước tô (rentier economy): phân phối lại từ xuất khẩu dầu mỏ thu hẹp khoảng cách năng suất giữa doanh nghiệp, nhưng không nhất thiết phản ánh hiệu quả doanh nghiệp đáng kể. Phát hiện này gợi ý rằng việc gộp hai loại Advanced vào một nhóm duy nhất (như các nghiên cứu trước thường làm) sẽ che khuất cơ chế quan trọng.</w:t>
      </w:r>
    </w:p>
    <w:bookmarkEnd w:id="21"/>
    <w:bookmarkStart w:id="22" w:name="X5d3466187510031b2f9edbae396df25939a1a4c"/>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Đáng chú ý là Upper-middle và Advanced có cùng FSTS trung bình (~10%) nhưng cơ chế xuất khẩu khác nhau. Advanced chủ yếu xuất khẩu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 "nhảy vọt số" (digital leapfrogging) ở SIDS. Tỷ lệ website 58,9% vượt cả nhóm Emerging (49,2%) dù GNI thấp hơn đáng kể. Pattern này phản ánh thực tế rằng số hóa bề mặt (website) ở SIDS là công cụ sinh tồn chứ không phải công cụ tối ưu hóa hiệu quả. Kết quả này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Biến nhị phân này do đó không còn phân biệt được doanh nghiệp hiệu quả và kém hiệu quả trong nhóm. Khi loại trừ doanh nghiệp ICT, hệ số âm biến mất,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Đó là: (i) tiếp cận tài chính hạn chế,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Do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chứ không phải giữa các nghiên cứu với nhau. Ví dụ điển hình là cùng một mẫu doanh nghiệp nhưng dùng các thước đo khác nhau cho cùng cấu trúc cho ra kết quả khác nhau. Phát hiện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rằng chế độ thể chế là moderator có ý nghĩa thực sự cho mối quan hệ tổng hợp I→P trong văn liệu. Chế độ thể chế được phân loại thành sáu nhóm từ Advanced Innovation-Driven (Nhóm I: Singapore, Hong Kong, Đài Loan, Hàn Quốc) đến SIDS Thái Bình Dương (Nhóm VI).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môi trường thể chế chất lượng cao tạo điều kiện để doanh nghiệp chuyển hóa quốc tế hóa thành hiệu quả dễ dàng hơn (North, 1990; Marano et al., 2016).</w:t>
      </w:r>
    </w:p>
    <w:bookmarkEnd w:id="28"/>
    <w:bookmarkStart w:id="29" w:name="X6516e6905b75b0313f9350803a09f8115a11764"/>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Các nghiên cứu với sai số chuẩn lớn hơn (mẫu nhỏ hơn) có xu hướng báo cáo effect size thấp hơn. Kết quả này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9"/>
    <w:bookmarkEnd w:id="30"/>
    <w:bookmarkStart w:id="34" w:name="Xb3878aa431a7a1542c531cbd096e6f7bb45602f"/>
    <w:p>
      <w:pPr>
        <w:pStyle w:val="Heading2"/>
      </w:pPr>
      <w:r>
        <w:t xml:space="preserve">4.3 Kết quả bối cảnh thể chế tiên tiến,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88,6% FSTS</w:t>
      </w:r>
      <w:r>
        <w:t xml:space="preserve">, đây là điểm turning point cao nhất trong tất cả các bối cảnh ICRV được phân tích trong luận án. Khoảng tin cậy của turning point rộng (CI: [53%, 253%]), phản ánh hạn chế về quy mô mẫu và thống kê chính xác. Tuy nhiên, điểm ước lượng trung tâm cho thấy rằng doanh nghiệp Singapore có thể duy trì đà tăng trưởng hiệu quả khi quốc tế hóa ở mức độ rất cao trước khi đạt đỉnh và suy giảm.</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Kết quả này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Đây là một mức độ tập trung quốc tế vừa phải. Trong bối cảnh nền kinh tế nội địa khổng lồ của Trung Quốc, thị trường nội địa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Kết quả này có thể phản ánh sự bù trừ giữa hai yếu tố. Một bên là chi phí thích ứng tăng lên do chính sách thương mại khó đoán. Bên kia là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Đây là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Kết quả này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47"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là cấu hình mạnh nhất về kiểm soát phương sai không quan sát (</w:t>
      </w:r>
      <m:oMath>
        <m:sSup>
          <m:e>
            <m:r>
              <m:rPr>
                <m:nor/>
                <m:sty m:val="p"/>
              </m:rPr>
              <m:t>adjR</m:t>
            </m:r>
          </m:e>
          <m:sup>
            <m:r>
              <m:t>2</m:t>
            </m:r>
          </m:sup>
        </m:sSup>
        <m:r>
          <m:rPr>
            <m:sty m:val="p"/>
          </m:rPr>
          <m:t>=</m:t>
        </m:r>
        <m:r>
          <m:rPr>
            <m:sty m:val="p"/>
          </m:rPr>
          <m:t>,</m:t>
        </m:r>
        <m:r>
          <m:t>677</m:t>
        </m:r>
      </m:oMath>
      <w:r>
        <w:t xml:space="preserve">). Mô hình này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4"/>
    <w:bookmarkStart w:id="45"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(meta-analytic và primary empirical) cùng chỉ ra gradient ICRV, tạo ra independent confirmation có giá trị.</w:t>
      </w:r>
    </w:p>
    <w:bookmarkEnd w:id="45"/>
    <w:bookmarkStart w:id="46"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tức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6"/>
    <w:bookmarkEnd w:id="47"/>
    <w:bookmarkStart w:id="51" w:name="X148edf673f29f3cdc512225d99b03a9e67e1c42"/>
    <w:p>
      <w:pPr>
        <w:pStyle w:val="Heading2"/>
      </w:pPr>
      <w:r>
        <w:t xml:space="preserve">4.7 Kết quả trường hợp biên SIDS — Các nền kinh tế đảo nhỏ đang phát triển (P8)</w:t>
      </w:r>
    </w:p>
    <w:bookmarkStart w:id="48" w:name="Xe52dd8a4967ed07d68452ad9b61fc702a699611"/>
    <w:p>
      <w:pPr>
        <w:pStyle w:val="Heading3"/>
      </w:pPr>
      <w:r>
        <w:t xml:space="preserve">4.7.1 Đặc điểm mẫu SIDS</w:t>
      </w:r>
    </w:p>
    <w:p>
      <w:pPr>
        <w:pStyle w:val="FirstParagraph"/>
      </w:pPr>
      <w:r>
        <w:t xml:space="preserve">Phân tích P8 tập trung vào chín quốc gia SIDS Thái Bình Dương (Pacific Small Island Developing States,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8"/>
    <w:bookmarkStart w:id="49"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turning point trong phạm vi dữ liệu.</w:t>
      </w:r>
    </w:p>
    <w:bookmarkEnd w:id="49"/>
    <w:bookmarkStart w:id="50"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tức gánh nặng quốc tế hóa bắt buộc. Đây là một construct lý thuyết mới chưa có trong literature IB trước đây. Cơ chế giải thích gồm ba yếu tố cấu trúc đặc thù của SIDS. Thứ nhất, thị trường nội địa quá nhỏ, buộc doanh nghiệp SIDS xuất khẩu không phải vì có lợi thế cạnh tranh mà vì nhu cầu nội địa không đủ để duy trì hoạt động. Thứ hai, chi phí hậu cần và tiếp cận thị trường cực cao do vị trí địa lý xa xôi và phân tán. Thứ ba, thiếu hỗ trợ thể chế và năng lực xuất khẩu.</w:t>
      </w:r>
    </w:p>
    <w:p>
      <w:pPr>
        <w:pStyle w:val="BodyText"/>
      </w:pPr>
      <w:r>
        <w:t xml:space="preserve">Kết quả FIP là đóng góp lý thuyết gốc của luận án. Đây là lần đầu tiên hiện tượng được ghi nhận và đặt tên trong literature internationalization–firm performance cho khu vực Thái Bình Dương.</w:t>
      </w:r>
    </w:p>
    <w:p>
      <w:r>
        <w:pict>
          <v:rect style="width:0;height:1.5pt" o:hralign="center" o:hrstd="t" o:hr="t"/>
        </w:pict>
      </w:r>
    </w:p>
    <w:bookmarkEnd w:id="50"/>
    <w:bookmarkEnd w:id="51"/>
    <w:bookmarkStart w:id="52"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Frontier;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2"/>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3">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2026-05-21T09:14:09Z</dcterms:created>
  <dcterms:modified xsi:type="dcterms:W3CDTF">2026-05-21T09:14:09Z</dcterms:modified>
</cp:coreProperties>
</file>

<file path=docProps/custom.xml><?xml version="1.0" encoding="utf-8"?>
<Properties xmlns="http://schemas.openxmlformats.org/officeDocument/2006/custom-properties" xmlns:vt="http://schemas.openxmlformats.org/officeDocument/2006/docPropsVTypes"/>
</file>